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18C0C" w14:textId="77777777" w:rsidR="00791517" w:rsidRDefault="00791517"/>
    <w:p w14:paraId="26B8B6C1" w14:textId="77777777" w:rsidR="004C7431" w:rsidRDefault="004C7431"/>
    <w:tbl>
      <w:tblPr>
        <w:tblW w:w="9636" w:type="dxa"/>
        <w:jc w:val="center"/>
        <w:tblLook w:val="04A0" w:firstRow="1" w:lastRow="0" w:firstColumn="1" w:lastColumn="0" w:noHBand="0" w:noVBand="1"/>
      </w:tblPr>
      <w:tblGrid>
        <w:gridCol w:w="2623"/>
        <w:gridCol w:w="3142"/>
        <w:gridCol w:w="651"/>
        <w:gridCol w:w="706"/>
        <w:gridCol w:w="798"/>
        <w:gridCol w:w="858"/>
        <w:gridCol w:w="858"/>
      </w:tblGrid>
      <w:tr w:rsidR="004C7431" w:rsidRPr="00DB5CDA" w14:paraId="757A1A14" w14:textId="77777777" w:rsidTr="009B5451">
        <w:trPr>
          <w:trHeight w:val="480"/>
          <w:jc w:val="center"/>
        </w:trPr>
        <w:tc>
          <w:tcPr>
            <w:tcW w:w="2637" w:type="dxa"/>
            <w:vMerge w:val="restart"/>
            <w:tcBorders>
              <w:top w:val="single" w:sz="2" w:space="0" w:color="auto"/>
              <w:left w:val="single" w:sz="2" w:space="0" w:color="auto"/>
              <w:bottom w:val="single" w:sz="2" w:space="0" w:color="auto"/>
              <w:right w:val="single" w:sz="2" w:space="0" w:color="auto"/>
            </w:tcBorders>
            <w:shd w:val="clear" w:color="auto" w:fill="A8D08D"/>
          </w:tcPr>
          <w:p w14:paraId="532B97C4" w14:textId="77777777" w:rsidR="004C7431" w:rsidRPr="00DB5CDA" w:rsidRDefault="004C7431" w:rsidP="009B5451">
            <w:pPr>
              <w:pStyle w:val="Zhlav"/>
              <w:rPr>
                <w:rFonts w:ascii="Arial" w:hAnsi="Arial" w:cs="Arial"/>
                <w:b/>
              </w:rPr>
            </w:pPr>
          </w:p>
          <w:p w14:paraId="4A6A10E5" w14:textId="77777777" w:rsidR="004C7431" w:rsidRPr="00DB5CDA" w:rsidRDefault="004C7431" w:rsidP="009B5451">
            <w:pPr>
              <w:pStyle w:val="Zhlav"/>
              <w:rPr>
                <w:rFonts w:ascii="Arial" w:hAnsi="Arial" w:cs="Arial"/>
                <w:b/>
              </w:rPr>
            </w:pPr>
            <w:proofErr w:type="spellStart"/>
            <w:r w:rsidRPr="00DB5CDA">
              <w:rPr>
                <w:rFonts w:ascii="Arial" w:hAnsi="Arial" w:cs="Arial"/>
                <w:b/>
              </w:rPr>
              <w:t>M</w:t>
            </w:r>
            <w:r>
              <w:rPr>
                <w:rFonts w:ascii="Arial" w:hAnsi="Arial" w:cs="Arial"/>
                <w:b/>
              </w:rPr>
              <w:t>Zd</w:t>
            </w:r>
            <w:proofErr w:type="spellEnd"/>
          </w:p>
          <w:p w14:paraId="62170119" w14:textId="77777777" w:rsidR="004C7431" w:rsidRPr="00DB5CDA" w:rsidRDefault="004C7431" w:rsidP="009B5451">
            <w:pPr>
              <w:pStyle w:val="Zhlav"/>
              <w:rPr>
                <w:rFonts w:ascii="Arial" w:hAnsi="Arial" w:cs="Arial"/>
                <w:b/>
                <w:smallCaps/>
                <w:spacing w:val="20"/>
              </w:rPr>
            </w:pPr>
          </w:p>
        </w:tc>
        <w:tc>
          <w:tcPr>
            <w:tcW w:w="3161" w:type="dxa"/>
            <w:vMerge w:val="restart"/>
            <w:tcBorders>
              <w:top w:val="single" w:sz="2" w:space="0" w:color="auto"/>
              <w:left w:val="single" w:sz="2" w:space="0" w:color="auto"/>
              <w:bottom w:val="single" w:sz="2" w:space="0" w:color="auto"/>
              <w:right w:val="single" w:sz="2" w:space="0" w:color="auto"/>
            </w:tcBorders>
            <w:shd w:val="clear" w:color="auto" w:fill="A8D08D"/>
          </w:tcPr>
          <w:p w14:paraId="2792091B" w14:textId="77777777" w:rsidR="004C7431" w:rsidRPr="00DB5CDA" w:rsidRDefault="004C7431" w:rsidP="009B5451">
            <w:pPr>
              <w:rPr>
                <w:rFonts w:ascii="Arial" w:hAnsi="Arial" w:cs="Arial"/>
                <w:b/>
              </w:rPr>
            </w:pPr>
          </w:p>
          <w:p w14:paraId="28740F4D" w14:textId="77777777" w:rsidR="004C7431" w:rsidRPr="00DB5CDA" w:rsidRDefault="004C7431" w:rsidP="009B5451">
            <w:pPr>
              <w:rPr>
                <w:rFonts w:ascii="Arial" w:hAnsi="Arial" w:cs="Arial"/>
                <w:b/>
              </w:rPr>
            </w:pPr>
            <w:r w:rsidRPr="00674900">
              <w:rPr>
                <w:rFonts w:ascii="Arial" w:hAnsi="Arial" w:cs="Arial"/>
                <w:b/>
              </w:rPr>
              <w:t>Institut klinické a experimentální medicíny</w:t>
            </w:r>
          </w:p>
        </w:tc>
        <w:tc>
          <w:tcPr>
            <w:tcW w:w="655" w:type="dxa"/>
            <w:tcBorders>
              <w:top w:val="single" w:sz="2" w:space="0" w:color="auto"/>
              <w:left w:val="single" w:sz="2" w:space="0" w:color="auto"/>
              <w:bottom w:val="single" w:sz="2" w:space="0" w:color="auto"/>
              <w:right w:val="single" w:sz="2" w:space="0" w:color="auto"/>
            </w:tcBorders>
            <w:shd w:val="clear" w:color="auto" w:fill="A8D08D"/>
            <w:vAlign w:val="center"/>
          </w:tcPr>
          <w:p w14:paraId="077BC32F" w14:textId="4D639659" w:rsidR="004C7431" w:rsidRPr="00DB5CDA" w:rsidRDefault="00BD16DF" w:rsidP="009B5451">
            <w:pPr>
              <w:rPr>
                <w:rFonts w:ascii="Arial" w:hAnsi="Arial" w:cs="Arial"/>
                <w:b/>
              </w:rPr>
            </w:pPr>
            <w:r>
              <w:rPr>
                <w:rFonts w:ascii="Arial" w:hAnsi="Arial" w:cs="Arial"/>
                <w:b/>
              </w:rPr>
              <w:t>A</w:t>
            </w:r>
          </w:p>
        </w:tc>
        <w:tc>
          <w:tcPr>
            <w:tcW w:w="655" w:type="dxa"/>
            <w:tcBorders>
              <w:top w:val="single" w:sz="2" w:space="0" w:color="auto"/>
              <w:left w:val="single" w:sz="2" w:space="0" w:color="auto"/>
              <w:bottom w:val="single" w:sz="2" w:space="0" w:color="auto"/>
              <w:right w:val="single" w:sz="2" w:space="0" w:color="auto"/>
            </w:tcBorders>
            <w:shd w:val="clear" w:color="auto" w:fill="auto"/>
            <w:vAlign w:val="center"/>
          </w:tcPr>
          <w:p w14:paraId="31FB9D1E" w14:textId="3B5A4787" w:rsidR="004C7431" w:rsidRPr="00DB5CDA" w:rsidRDefault="00BD16DF" w:rsidP="009B5451">
            <w:pPr>
              <w:rPr>
                <w:rFonts w:ascii="Arial" w:hAnsi="Arial" w:cs="Arial"/>
              </w:rPr>
            </w:pPr>
            <w:r>
              <w:rPr>
                <w:rFonts w:ascii="Arial" w:hAnsi="Arial" w:cs="Arial"/>
              </w:rPr>
              <w:t>M1/2</w:t>
            </w:r>
          </w:p>
        </w:tc>
        <w:tc>
          <w:tcPr>
            <w:tcW w:w="802" w:type="dxa"/>
            <w:tcBorders>
              <w:top w:val="single" w:sz="2" w:space="0" w:color="auto"/>
              <w:left w:val="single" w:sz="2" w:space="0" w:color="auto"/>
              <w:bottom w:val="single" w:sz="2" w:space="0" w:color="auto"/>
              <w:right w:val="single" w:sz="2" w:space="0" w:color="auto"/>
            </w:tcBorders>
            <w:shd w:val="clear" w:color="auto" w:fill="auto"/>
            <w:vAlign w:val="center"/>
          </w:tcPr>
          <w:p w14:paraId="1CC766D6" w14:textId="256F8F9F" w:rsidR="004C7431" w:rsidRPr="00DB5CDA" w:rsidRDefault="00BD16DF" w:rsidP="009B5451">
            <w:pPr>
              <w:rPr>
                <w:rFonts w:ascii="Arial" w:hAnsi="Arial" w:cs="Arial"/>
              </w:rPr>
            </w:pPr>
            <w:r>
              <w:rPr>
                <w:rFonts w:ascii="Arial" w:hAnsi="Arial" w:cs="Arial"/>
              </w:rPr>
              <w:t>M3</w:t>
            </w:r>
          </w:p>
        </w:tc>
        <w:tc>
          <w:tcPr>
            <w:tcW w:w="863" w:type="dxa"/>
            <w:tcBorders>
              <w:top w:val="single" w:sz="2" w:space="0" w:color="auto"/>
              <w:left w:val="single" w:sz="2" w:space="0" w:color="auto"/>
              <w:bottom w:val="single" w:sz="2" w:space="0" w:color="auto"/>
              <w:right w:val="single" w:sz="2" w:space="0" w:color="auto"/>
            </w:tcBorders>
            <w:shd w:val="clear" w:color="auto" w:fill="auto"/>
            <w:vAlign w:val="center"/>
          </w:tcPr>
          <w:p w14:paraId="28C0D88A" w14:textId="58E5016C" w:rsidR="004C7431" w:rsidRPr="00DB5CDA" w:rsidRDefault="00BD16DF" w:rsidP="009B5451">
            <w:pPr>
              <w:rPr>
                <w:rFonts w:ascii="Arial" w:hAnsi="Arial" w:cs="Arial"/>
              </w:rPr>
            </w:pPr>
            <w:r>
              <w:rPr>
                <w:rFonts w:ascii="Arial" w:hAnsi="Arial" w:cs="Arial"/>
              </w:rPr>
              <w:t>M4</w:t>
            </w:r>
          </w:p>
        </w:tc>
        <w:tc>
          <w:tcPr>
            <w:tcW w:w="863" w:type="dxa"/>
            <w:tcBorders>
              <w:top w:val="single" w:sz="2" w:space="0" w:color="auto"/>
              <w:left w:val="single" w:sz="2" w:space="0" w:color="auto"/>
              <w:bottom w:val="single" w:sz="2" w:space="0" w:color="auto"/>
              <w:right w:val="single" w:sz="2" w:space="0" w:color="auto"/>
            </w:tcBorders>
            <w:shd w:val="clear" w:color="auto" w:fill="auto"/>
            <w:vAlign w:val="center"/>
          </w:tcPr>
          <w:p w14:paraId="093FF3D6" w14:textId="60F85303" w:rsidR="004C7431" w:rsidRPr="00DB5CDA" w:rsidRDefault="00BD16DF" w:rsidP="009B5451">
            <w:pPr>
              <w:rPr>
                <w:rFonts w:ascii="Arial" w:hAnsi="Arial" w:cs="Arial"/>
              </w:rPr>
            </w:pPr>
            <w:r>
              <w:rPr>
                <w:rFonts w:ascii="Arial" w:hAnsi="Arial" w:cs="Arial"/>
              </w:rPr>
              <w:t>M5</w:t>
            </w:r>
          </w:p>
        </w:tc>
      </w:tr>
      <w:tr w:rsidR="004C7431" w:rsidRPr="00DB5CDA" w14:paraId="67CA8465" w14:textId="77777777" w:rsidTr="009B5451">
        <w:trPr>
          <w:trHeight w:val="402"/>
          <w:jc w:val="center"/>
        </w:trPr>
        <w:tc>
          <w:tcPr>
            <w:tcW w:w="2637" w:type="dxa"/>
            <w:vMerge/>
            <w:tcBorders>
              <w:top w:val="single" w:sz="2" w:space="0" w:color="auto"/>
              <w:left w:val="single" w:sz="2" w:space="0" w:color="auto"/>
              <w:bottom w:val="single" w:sz="2" w:space="0" w:color="auto"/>
              <w:right w:val="single" w:sz="2" w:space="0" w:color="auto"/>
            </w:tcBorders>
            <w:shd w:val="clear" w:color="auto" w:fill="A8D08D"/>
          </w:tcPr>
          <w:p w14:paraId="68475A17" w14:textId="77777777" w:rsidR="004C7431" w:rsidRPr="00DB5CDA" w:rsidRDefault="004C7431" w:rsidP="009B5451">
            <w:pPr>
              <w:pStyle w:val="Zhlav"/>
              <w:rPr>
                <w:rFonts w:ascii="Arial" w:hAnsi="Arial" w:cs="Arial"/>
                <w:b/>
                <w:smallCaps/>
                <w:spacing w:val="20"/>
              </w:rPr>
            </w:pPr>
          </w:p>
        </w:tc>
        <w:tc>
          <w:tcPr>
            <w:tcW w:w="3161" w:type="dxa"/>
            <w:vMerge/>
            <w:tcBorders>
              <w:top w:val="single" w:sz="2" w:space="0" w:color="auto"/>
              <w:left w:val="single" w:sz="2" w:space="0" w:color="auto"/>
              <w:bottom w:val="single" w:sz="2" w:space="0" w:color="auto"/>
              <w:right w:val="single" w:sz="2" w:space="0" w:color="auto"/>
            </w:tcBorders>
            <w:shd w:val="clear" w:color="auto" w:fill="A8D08D"/>
          </w:tcPr>
          <w:p w14:paraId="145802B1" w14:textId="77777777" w:rsidR="004C7431" w:rsidRPr="00DB5CDA" w:rsidRDefault="004C7431" w:rsidP="009B5451">
            <w:pPr>
              <w:pStyle w:val="Zhlav"/>
              <w:rPr>
                <w:rFonts w:ascii="Arial" w:hAnsi="Arial" w:cs="Arial"/>
                <w:smallCaps/>
                <w:spacing w:val="20"/>
              </w:rPr>
            </w:pPr>
          </w:p>
        </w:tc>
        <w:tc>
          <w:tcPr>
            <w:tcW w:w="655" w:type="dxa"/>
            <w:tcBorders>
              <w:top w:val="single" w:sz="2" w:space="0" w:color="auto"/>
              <w:left w:val="single" w:sz="2" w:space="0" w:color="auto"/>
              <w:bottom w:val="single" w:sz="2" w:space="0" w:color="auto"/>
              <w:right w:val="single" w:sz="2" w:space="0" w:color="auto"/>
            </w:tcBorders>
            <w:shd w:val="clear" w:color="auto" w:fill="A8D08D"/>
            <w:vAlign w:val="center"/>
          </w:tcPr>
          <w:p w14:paraId="0F6C0E14" w14:textId="1A8B0627" w:rsidR="004C7431" w:rsidRPr="00DB5CDA" w:rsidRDefault="004C7431" w:rsidP="009B5451">
            <w:pPr>
              <w:pStyle w:val="Zhlav"/>
              <w:rPr>
                <w:rFonts w:ascii="Arial" w:hAnsi="Arial" w:cs="Arial"/>
                <w:b/>
                <w:smallCaps/>
                <w:spacing w:val="20"/>
              </w:rPr>
            </w:pPr>
          </w:p>
        </w:tc>
        <w:tc>
          <w:tcPr>
            <w:tcW w:w="655" w:type="dxa"/>
            <w:tcBorders>
              <w:top w:val="single" w:sz="2" w:space="0" w:color="auto"/>
              <w:left w:val="single" w:sz="2" w:space="0" w:color="auto"/>
              <w:bottom w:val="single" w:sz="2" w:space="0" w:color="auto"/>
              <w:right w:val="single" w:sz="2" w:space="0" w:color="auto"/>
            </w:tcBorders>
            <w:shd w:val="clear" w:color="auto" w:fill="auto"/>
            <w:vAlign w:val="center"/>
          </w:tcPr>
          <w:p w14:paraId="3F64DD92" w14:textId="1FF838E7" w:rsidR="004C7431" w:rsidRPr="00DB5CDA" w:rsidRDefault="00B8630A" w:rsidP="009B5451">
            <w:pPr>
              <w:pStyle w:val="Zhlav"/>
              <w:rPr>
                <w:rFonts w:ascii="Arial" w:hAnsi="Arial" w:cs="Arial"/>
                <w:smallCaps/>
                <w:spacing w:val="20"/>
              </w:rPr>
            </w:pPr>
            <w:r>
              <w:rPr>
                <w:rFonts w:ascii="Arial" w:hAnsi="Arial" w:cs="Arial"/>
                <w:smallCaps/>
                <w:spacing w:val="20"/>
              </w:rPr>
              <w:t>A</w:t>
            </w:r>
          </w:p>
        </w:tc>
        <w:tc>
          <w:tcPr>
            <w:tcW w:w="802" w:type="dxa"/>
            <w:tcBorders>
              <w:top w:val="single" w:sz="2" w:space="0" w:color="auto"/>
              <w:left w:val="single" w:sz="2" w:space="0" w:color="auto"/>
              <w:bottom w:val="single" w:sz="2" w:space="0" w:color="auto"/>
              <w:right w:val="single" w:sz="2" w:space="0" w:color="auto"/>
            </w:tcBorders>
            <w:shd w:val="clear" w:color="auto" w:fill="auto"/>
            <w:vAlign w:val="center"/>
          </w:tcPr>
          <w:p w14:paraId="1B950EBF" w14:textId="31958217" w:rsidR="004C7431" w:rsidRPr="00DB5CDA" w:rsidRDefault="00BD16DF" w:rsidP="009B5451">
            <w:pPr>
              <w:pStyle w:val="Zhlav"/>
              <w:rPr>
                <w:rFonts w:ascii="Arial" w:hAnsi="Arial" w:cs="Arial"/>
                <w:smallCaps/>
                <w:spacing w:val="20"/>
              </w:rPr>
            </w:pPr>
            <w:r>
              <w:rPr>
                <w:rFonts w:ascii="Arial" w:hAnsi="Arial" w:cs="Arial"/>
                <w:smallCaps/>
                <w:spacing w:val="20"/>
              </w:rPr>
              <w:t>A</w:t>
            </w:r>
          </w:p>
        </w:tc>
        <w:tc>
          <w:tcPr>
            <w:tcW w:w="863" w:type="dxa"/>
            <w:tcBorders>
              <w:top w:val="single" w:sz="2" w:space="0" w:color="auto"/>
              <w:left w:val="single" w:sz="2" w:space="0" w:color="auto"/>
              <w:bottom w:val="single" w:sz="2" w:space="0" w:color="auto"/>
              <w:right w:val="single" w:sz="2" w:space="0" w:color="auto"/>
            </w:tcBorders>
            <w:shd w:val="clear" w:color="auto" w:fill="auto"/>
            <w:vAlign w:val="center"/>
          </w:tcPr>
          <w:p w14:paraId="40636DA8" w14:textId="352BA593" w:rsidR="004C7431" w:rsidRPr="00DB5CDA" w:rsidRDefault="00BD16DF" w:rsidP="009B5451">
            <w:pPr>
              <w:pStyle w:val="Zhlav"/>
              <w:rPr>
                <w:rFonts w:ascii="Arial" w:hAnsi="Arial" w:cs="Arial"/>
                <w:smallCaps/>
                <w:spacing w:val="20"/>
              </w:rPr>
            </w:pPr>
            <w:r>
              <w:rPr>
                <w:rFonts w:ascii="Arial" w:hAnsi="Arial" w:cs="Arial"/>
                <w:smallCaps/>
                <w:spacing w:val="20"/>
              </w:rPr>
              <w:t>B</w:t>
            </w:r>
          </w:p>
        </w:tc>
        <w:tc>
          <w:tcPr>
            <w:tcW w:w="863" w:type="dxa"/>
            <w:tcBorders>
              <w:top w:val="single" w:sz="2" w:space="0" w:color="auto"/>
              <w:left w:val="single" w:sz="2" w:space="0" w:color="auto"/>
              <w:bottom w:val="single" w:sz="2" w:space="0" w:color="auto"/>
              <w:right w:val="single" w:sz="2" w:space="0" w:color="auto"/>
            </w:tcBorders>
            <w:shd w:val="clear" w:color="auto" w:fill="auto"/>
            <w:vAlign w:val="center"/>
          </w:tcPr>
          <w:p w14:paraId="4172AFAE" w14:textId="667BB6BE" w:rsidR="004C7431" w:rsidRPr="00DB5CDA" w:rsidRDefault="00BD16DF" w:rsidP="009B5451">
            <w:pPr>
              <w:pStyle w:val="Zhlav"/>
              <w:rPr>
                <w:rFonts w:ascii="Arial" w:hAnsi="Arial" w:cs="Arial"/>
                <w:smallCaps/>
                <w:spacing w:val="20"/>
              </w:rPr>
            </w:pPr>
            <w:r>
              <w:rPr>
                <w:rFonts w:ascii="Arial" w:hAnsi="Arial" w:cs="Arial"/>
                <w:smallCaps/>
                <w:spacing w:val="20"/>
              </w:rPr>
              <w:t>A</w:t>
            </w:r>
          </w:p>
        </w:tc>
      </w:tr>
      <w:tr w:rsidR="004C7431" w:rsidRPr="0047663C" w14:paraId="16BCDFB7" w14:textId="77777777" w:rsidTr="009B5451">
        <w:trPr>
          <w:trHeight w:val="265"/>
          <w:jc w:val="center"/>
        </w:trPr>
        <w:tc>
          <w:tcPr>
            <w:tcW w:w="2637" w:type="dxa"/>
            <w:tcBorders>
              <w:top w:val="single" w:sz="2" w:space="0" w:color="auto"/>
              <w:left w:val="single" w:sz="2" w:space="0" w:color="auto"/>
              <w:right w:val="single" w:sz="2" w:space="0" w:color="auto"/>
            </w:tcBorders>
            <w:shd w:val="clear" w:color="auto" w:fill="auto"/>
            <w:vAlign w:val="center"/>
          </w:tcPr>
          <w:p w14:paraId="5F45FCE4" w14:textId="6549D765" w:rsidR="004C7431" w:rsidRPr="00DB5CDA" w:rsidRDefault="004C7431" w:rsidP="004C7431">
            <w:pPr>
              <w:pStyle w:val="Zhlav"/>
              <w:rPr>
                <w:rFonts w:ascii="Arial" w:hAnsi="Arial" w:cs="Arial"/>
                <w:b/>
                <w:smallCaps/>
                <w:spacing w:val="20"/>
                <w:szCs w:val="22"/>
              </w:rPr>
            </w:pPr>
          </w:p>
        </w:tc>
        <w:tc>
          <w:tcPr>
            <w:tcW w:w="6999" w:type="dxa"/>
            <w:gridSpan w:val="6"/>
            <w:tcBorders>
              <w:top w:val="single" w:sz="2" w:space="0" w:color="auto"/>
              <w:left w:val="single" w:sz="2" w:space="0" w:color="auto"/>
              <w:right w:val="single" w:sz="2" w:space="0" w:color="auto"/>
            </w:tcBorders>
            <w:shd w:val="clear" w:color="auto" w:fill="auto"/>
            <w:vAlign w:val="center"/>
          </w:tcPr>
          <w:p w14:paraId="772D0F9D" w14:textId="6277CDDF" w:rsidR="004C7431" w:rsidRPr="0047663C" w:rsidRDefault="004C7431" w:rsidP="004C7431">
            <w:pPr>
              <w:pStyle w:val="Zhlav"/>
              <w:jc w:val="both"/>
              <w:rPr>
                <w:rFonts w:ascii="Arial" w:hAnsi="Arial" w:cs="Arial"/>
                <w:szCs w:val="22"/>
              </w:rPr>
            </w:pPr>
          </w:p>
        </w:tc>
      </w:tr>
      <w:tr w:rsidR="005B46C3" w:rsidRPr="0047663C" w14:paraId="304DA514"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126A956B" w14:textId="77777777" w:rsidR="005B46C3" w:rsidRDefault="005B46C3" w:rsidP="005B46C3">
            <w:pPr>
              <w:pStyle w:val="Zhlav"/>
              <w:rPr>
                <w:rFonts w:ascii="Arial" w:hAnsi="Arial" w:cs="Arial"/>
                <w:b/>
                <w:szCs w:val="22"/>
              </w:rPr>
            </w:pPr>
          </w:p>
          <w:p w14:paraId="66DF35B0" w14:textId="263D85F7" w:rsidR="005B46C3" w:rsidRPr="00DB5CDA" w:rsidRDefault="005B46C3" w:rsidP="005B46C3">
            <w:pPr>
              <w:pStyle w:val="Zhlav"/>
              <w:rPr>
                <w:rFonts w:ascii="Arial" w:hAnsi="Arial" w:cs="Arial"/>
                <w:b/>
                <w:smallCaps/>
                <w:spacing w:val="20"/>
                <w:szCs w:val="22"/>
              </w:rPr>
            </w:pPr>
            <w:r w:rsidRPr="00796777">
              <w:rPr>
                <w:rFonts w:ascii="Arial" w:hAnsi="Arial" w:cs="Arial"/>
                <w:b/>
                <w:szCs w:val="22"/>
              </w:rPr>
              <w:t>Výsledné hodnocení</w:t>
            </w:r>
            <w:r w:rsidR="00E67E99">
              <w:rPr>
                <w:rFonts w:ascii="Arial" w:hAnsi="Arial" w:cs="Arial"/>
                <w:b/>
                <w:szCs w:val="22"/>
              </w:rPr>
              <w:t xml:space="preserve"> v modulech 1 až 5 je</w:t>
            </w:r>
            <w:r>
              <w:rPr>
                <w:rFonts w:ascii="Arial" w:hAnsi="Arial" w:cs="Arial"/>
                <w:b/>
                <w:szCs w:val="22"/>
              </w:rPr>
              <w:t xml:space="preserve"> </w:t>
            </w:r>
            <w:r w:rsidR="00B8630A">
              <w:rPr>
                <w:rFonts w:ascii="Arial" w:hAnsi="Arial" w:cs="Arial"/>
                <w:b/>
                <w:szCs w:val="22"/>
              </w:rPr>
              <w:t>A</w:t>
            </w:r>
          </w:p>
        </w:tc>
        <w:tc>
          <w:tcPr>
            <w:tcW w:w="6999" w:type="dxa"/>
            <w:gridSpan w:val="6"/>
            <w:tcBorders>
              <w:left w:val="single" w:sz="2" w:space="0" w:color="auto"/>
              <w:right w:val="single" w:sz="2" w:space="0" w:color="auto"/>
            </w:tcBorders>
            <w:shd w:val="clear" w:color="auto" w:fill="auto"/>
            <w:vAlign w:val="center"/>
          </w:tcPr>
          <w:p w14:paraId="51B373E0" w14:textId="0ED470FE" w:rsidR="005B46C3" w:rsidRDefault="00BD16DF" w:rsidP="005B46C3">
            <w:pPr>
              <w:pStyle w:val="Zhlav"/>
              <w:jc w:val="both"/>
              <w:rPr>
                <w:rFonts w:ascii="Arial" w:hAnsi="Arial" w:cs="Arial"/>
                <w:b/>
                <w:color w:val="000000" w:themeColor="text1"/>
                <w:szCs w:val="22"/>
              </w:rPr>
            </w:pPr>
            <w:r w:rsidRPr="004C73B8">
              <w:rPr>
                <w:rFonts w:ascii="Arial" w:hAnsi="Arial" w:cs="Arial"/>
                <w:b/>
                <w:color w:val="000000" w:themeColor="text1"/>
                <w:szCs w:val="22"/>
              </w:rPr>
              <w:t xml:space="preserve">Moduly M1-2 </w:t>
            </w:r>
            <w:r>
              <w:rPr>
                <w:rFonts w:ascii="Arial" w:hAnsi="Arial" w:cs="Arial"/>
                <w:b/>
                <w:color w:val="000000" w:themeColor="text1"/>
                <w:szCs w:val="22"/>
              </w:rPr>
              <w:t xml:space="preserve">po tripartitě v roce </w:t>
            </w:r>
            <w:proofErr w:type="gramStart"/>
            <w:r>
              <w:rPr>
                <w:rFonts w:ascii="Arial" w:hAnsi="Arial" w:cs="Arial"/>
                <w:b/>
                <w:color w:val="000000" w:themeColor="text1"/>
                <w:szCs w:val="22"/>
              </w:rPr>
              <w:t>202</w:t>
            </w:r>
            <w:r w:rsidR="004F6FF1">
              <w:rPr>
                <w:rFonts w:ascii="Arial" w:hAnsi="Arial" w:cs="Arial"/>
                <w:b/>
                <w:color w:val="000000" w:themeColor="text1"/>
                <w:szCs w:val="22"/>
              </w:rPr>
              <w:t>4</w:t>
            </w:r>
            <w:r>
              <w:rPr>
                <w:rFonts w:ascii="Arial" w:hAnsi="Arial" w:cs="Arial"/>
                <w:b/>
                <w:color w:val="000000" w:themeColor="text1"/>
                <w:szCs w:val="22"/>
              </w:rPr>
              <w:t xml:space="preserve"> – </w:t>
            </w:r>
            <w:r w:rsidR="00B8630A">
              <w:rPr>
                <w:rFonts w:ascii="Arial" w:hAnsi="Arial" w:cs="Arial"/>
                <w:b/>
                <w:color w:val="000000" w:themeColor="text1"/>
                <w:szCs w:val="22"/>
              </w:rPr>
              <w:t>A</w:t>
            </w:r>
            <w:proofErr w:type="gramEnd"/>
          </w:p>
          <w:p w14:paraId="666448E7" w14:textId="0C40ADE1" w:rsidR="00BD16DF" w:rsidRPr="0047663C" w:rsidRDefault="00BD16DF" w:rsidP="005B46C3">
            <w:pPr>
              <w:pStyle w:val="Zhlav"/>
              <w:jc w:val="both"/>
              <w:rPr>
                <w:rFonts w:ascii="Arial" w:hAnsi="Arial" w:cs="Arial"/>
                <w:szCs w:val="22"/>
              </w:rPr>
            </w:pPr>
          </w:p>
        </w:tc>
      </w:tr>
      <w:tr w:rsidR="005B46C3" w14:paraId="02C3E1F8"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0C0DCF62" w14:textId="77777777" w:rsidR="005B46C3" w:rsidRDefault="005B46C3" w:rsidP="00B8630A">
            <w:pPr>
              <w:pStyle w:val="Zhlav"/>
              <w:jc w:val="both"/>
              <w:rPr>
                <w:rFonts w:ascii="Arial" w:hAnsi="Arial" w:cs="Arial"/>
                <w:b/>
                <w:szCs w:val="22"/>
              </w:rPr>
            </w:pPr>
          </w:p>
          <w:p w14:paraId="08D99854" w14:textId="77777777" w:rsidR="005B46C3" w:rsidRDefault="005B46C3" w:rsidP="00B8630A">
            <w:pPr>
              <w:pStyle w:val="Zhlav"/>
              <w:jc w:val="both"/>
              <w:rPr>
                <w:rFonts w:ascii="Arial" w:hAnsi="Arial" w:cs="Arial"/>
                <w:b/>
                <w:szCs w:val="22"/>
              </w:rPr>
            </w:pPr>
          </w:p>
          <w:p w14:paraId="1EB58B0F" w14:textId="77777777" w:rsidR="005B46C3" w:rsidRDefault="005B46C3" w:rsidP="00B8630A">
            <w:pPr>
              <w:pStyle w:val="Zhlav"/>
              <w:jc w:val="both"/>
              <w:rPr>
                <w:rFonts w:ascii="Arial" w:hAnsi="Arial" w:cs="Arial"/>
                <w:b/>
                <w:szCs w:val="22"/>
              </w:rPr>
            </w:pPr>
            <w:r w:rsidRPr="00DB5CDA">
              <w:rPr>
                <w:rFonts w:ascii="Arial" w:hAnsi="Arial" w:cs="Arial"/>
                <w:b/>
                <w:szCs w:val="22"/>
              </w:rPr>
              <w:t xml:space="preserve">Modul </w:t>
            </w:r>
            <w:r>
              <w:rPr>
                <w:rFonts w:ascii="Arial" w:hAnsi="Arial" w:cs="Arial"/>
                <w:b/>
                <w:szCs w:val="22"/>
              </w:rPr>
              <w:t>3</w:t>
            </w:r>
            <w:r w:rsidRPr="00DB5CDA">
              <w:rPr>
                <w:rFonts w:ascii="Arial" w:hAnsi="Arial" w:cs="Arial"/>
                <w:b/>
                <w:szCs w:val="22"/>
              </w:rPr>
              <w:t xml:space="preserve"> – </w:t>
            </w:r>
            <w:r>
              <w:rPr>
                <w:rFonts w:ascii="Arial" w:hAnsi="Arial" w:cs="Arial"/>
                <w:b/>
                <w:szCs w:val="22"/>
              </w:rPr>
              <w:t>Společenská relevance A</w:t>
            </w:r>
          </w:p>
          <w:p w14:paraId="35A48F4C" w14:textId="77777777" w:rsidR="005B46C3" w:rsidRDefault="005B46C3" w:rsidP="00B8630A">
            <w:pPr>
              <w:pStyle w:val="Zhlav"/>
              <w:jc w:val="both"/>
              <w:rPr>
                <w:rFonts w:ascii="Arial" w:hAnsi="Arial" w:cs="Arial"/>
                <w:b/>
                <w:szCs w:val="22"/>
              </w:rPr>
            </w:pPr>
          </w:p>
          <w:p w14:paraId="2DC2BDF8" w14:textId="106A19C7" w:rsidR="005B46C3" w:rsidRPr="00DB5CDA" w:rsidRDefault="005B46C3" w:rsidP="00B8630A">
            <w:pPr>
              <w:pStyle w:val="Zhlav"/>
              <w:jc w:val="both"/>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16C3650A" w14:textId="0595C991" w:rsidR="00135E8A" w:rsidRPr="000B16B2" w:rsidRDefault="00135E8A" w:rsidP="00B8630A">
            <w:pPr>
              <w:jc w:val="both"/>
              <w:rPr>
                <w:rFonts w:ascii="Arial" w:hAnsi="Arial" w:cs="Arial"/>
                <w:color w:val="000000" w:themeColor="text1"/>
              </w:rPr>
            </w:pPr>
            <w:r w:rsidRPr="000B16B2">
              <w:rPr>
                <w:rFonts w:ascii="Arial" w:hAnsi="Arial" w:cs="Arial"/>
                <w:color w:val="000000" w:themeColor="text1"/>
              </w:rPr>
              <w:t>IKEM je velice aktivní v oblasti aplikovaného výzkumu.</w:t>
            </w:r>
            <w:r>
              <w:rPr>
                <w:rFonts w:ascii="Arial" w:hAnsi="Arial" w:cs="Arial"/>
                <w:color w:val="000000" w:themeColor="text1"/>
              </w:rPr>
              <w:t xml:space="preserve"> </w:t>
            </w:r>
            <w:r w:rsidRPr="000B16B2">
              <w:rPr>
                <w:rFonts w:ascii="Arial" w:hAnsi="Arial" w:cs="Arial"/>
                <w:color w:val="000000" w:themeColor="text1"/>
              </w:rPr>
              <w:t xml:space="preserve">Na doložených příkladech aplikovaného výzkumu IKEM poskytl důkaz schopnosti navrhnout a úspěšně zrealizovat vlastní </w:t>
            </w:r>
            <w:r>
              <w:rPr>
                <w:rFonts w:ascii="Arial" w:hAnsi="Arial" w:cs="Arial"/>
                <w:color w:val="000000" w:themeColor="text1"/>
              </w:rPr>
              <w:t>nekomerční</w:t>
            </w:r>
            <w:r w:rsidRPr="000B16B2">
              <w:rPr>
                <w:rFonts w:ascii="Arial" w:hAnsi="Arial" w:cs="Arial"/>
                <w:color w:val="000000" w:themeColor="text1"/>
              </w:rPr>
              <w:t xml:space="preserve"> klinická hodnocení, včetně multicentrických. </w:t>
            </w:r>
            <w:r w:rsidRPr="000B16B2">
              <w:rPr>
                <w:rFonts w:ascii="Arial" w:hAnsi="Arial" w:cs="Arial"/>
              </w:rPr>
              <w:t>Ve výběru nejvýznamnějších projektů aplikovaného výzkumu uvádí IKEM projekty AZV</w:t>
            </w:r>
            <w:r>
              <w:rPr>
                <w:rFonts w:ascii="Arial" w:hAnsi="Arial" w:cs="Arial"/>
              </w:rPr>
              <w:t xml:space="preserve"> ČR</w:t>
            </w:r>
            <w:r w:rsidRPr="000B16B2">
              <w:rPr>
                <w:rFonts w:ascii="Arial" w:hAnsi="Arial" w:cs="Arial"/>
              </w:rPr>
              <w:t xml:space="preserve">, ve kterých hraje roli hlavního příjemce, které jsou zcela v souladu s misí a výzkumným zaměřením instituce, a ve kterých bylo dosaženo excelentních výsledků (publikace v časopisech </w:t>
            </w:r>
            <w:r>
              <w:rPr>
                <w:rFonts w:ascii="Arial" w:hAnsi="Arial" w:cs="Arial"/>
              </w:rPr>
              <w:t xml:space="preserve">jako JAMA </w:t>
            </w:r>
            <w:proofErr w:type="spellStart"/>
            <w:r>
              <w:rPr>
                <w:rFonts w:ascii="Arial" w:hAnsi="Arial" w:cs="Arial"/>
              </w:rPr>
              <w:t>Cardiology</w:t>
            </w:r>
            <w:proofErr w:type="spellEnd"/>
            <w:r w:rsidRPr="000B16B2">
              <w:rPr>
                <w:rFonts w:ascii="Arial" w:hAnsi="Arial" w:cs="Arial"/>
              </w:rPr>
              <w:t xml:space="preserve">, </w:t>
            </w:r>
            <w:proofErr w:type="spellStart"/>
            <w:r w:rsidRPr="000B16B2">
              <w:rPr>
                <w:rFonts w:ascii="Arial" w:hAnsi="Arial" w:cs="Arial"/>
              </w:rPr>
              <w:t>Annals</w:t>
            </w:r>
            <w:proofErr w:type="spellEnd"/>
            <w:r w:rsidRPr="000B16B2">
              <w:rPr>
                <w:rFonts w:ascii="Arial" w:hAnsi="Arial" w:cs="Arial"/>
              </w:rPr>
              <w:t xml:space="preserve"> </w:t>
            </w:r>
            <w:proofErr w:type="spellStart"/>
            <w:r w:rsidRPr="000B16B2">
              <w:rPr>
                <w:rFonts w:ascii="Arial" w:hAnsi="Arial" w:cs="Arial"/>
              </w:rPr>
              <w:t>of</w:t>
            </w:r>
            <w:proofErr w:type="spellEnd"/>
            <w:r w:rsidRPr="000B16B2">
              <w:rPr>
                <w:rFonts w:ascii="Arial" w:hAnsi="Arial" w:cs="Arial"/>
              </w:rPr>
              <w:t xml:space="preserve"> </w:t>
            </w:r>
            <w:proofErr w:type="spellStart"/>
            <w:r w:rsidRPr="000B16B2">
              <w:rPr>
                <w:rFonts w:ascii="Arial" w:hAnsi="Arial" w:cs="Arial"/>
              </w:rPr>
              <w:t>Internal</w:t>
            </w:r>
            <w:proofErr w:type="spellEnd"/>
            <w:r w:rsidRPr="000B16B2">
              <w:rPr>
                <w:rFonts w:ascii="Arial" w:hAnsi="Arial" w:cs="Arial"/>
              </w:rPr>
              <w:t xml:space="preserve"> </w:t>
            </w:r>
            <w:proofErr w:type="spellStart"/>
            <w:r w:rsidRPr="000B16B2">
              <w:rPr>
                <w:rFonts w:ascii="Arial" w:hAnsi="Arial" w:cs="Arial"/>
              </w:rPr>
              <w:t>Medicine</w:t>
            </w:r>
            <w:proofErr w:type="spellEnd"/>
            <w:r w:rsidRPr="000B16B2">
              <w:rPr>
                <w:rFonts w:ascii="Arial" w:hAnsi="Arial" w:cs="Arial"/>
              </w:rPr>
              <w:t xml:space="preserve">, </w:t>
            </w:r>
            <w:proofErr w:type="spellStart"/>
            <w:r>
              <w:rPr>
                <w:rFonts w:ascii="Arial" w:hAnsi="Arial" w:cs="Arial"/>
              </w:rPr>
              <w:t>Am</w:t>
            </w:r>
            <w:proofErr w:type="spellEnd"/>
            <w:r>
              <w:rPr>
                <w:rFonts w:ascii="Arial" w:hAnsi="Arial" w:cs="Arial"/>
              </w:rPr>
              <w:t xml:space="preserve"> J </w:t>
            </w:r>
            <w:proofErr w:type="spellStart"/>
            <w:r>
              <w:rPr>
                <w:rFonts w:ascii="Arial" w:hAnsi="Arial" w:cs="Arial"/>
              </w:rPr>
              <w:t>Transplantation</w:t>
            </w:r>
            <w:proofErr w:type="spellEnd"/>
            <w:r>
              <w:rPr>
                <w:rFonts w:ascii="Arial" w:hAnsi="Arial" w:cs="Arial"/>
              </w:rPr>
              <w:t xml:space="preserve"> </w:t>
            </w:r>
            <w:proofErr w:type="spellStart"/>
            <w:r w:rsidRPr="000B16B2">
              <w:rPr>
                <w:rFonts w:ascii="Arial" w:hAnsi="Arial" w:cs="Arial"/>
              </w:rPr>
              <w:t>etc</w:t>
            </w:r>
            <w:proofErr w:type="spellEnd"/>
            <w:r w:rsidRPr="000B16B2">
              <w:rPr>
                <w:rFonts w:ascii="Arial" w:hAnsi="Arial" w:cs="Arial"/>
              </w:rPr>
              <w:t xml:space="preserve">.). </w:t>
            </w:r>
            <w:r>
              <w:rPr>
                <w:rFonts w:ascii="Arial" w:hAnsi="Arial" w:cs="Arial"/>
              </w:rPr>
              <w:t>K</w:t>
            </w:r>
            <w:r w:rsidRPr="000B16B2">
              <w:rPr>
                <w:rFonts w:ascii="Arial" w:hAnsi="Arial" w:cs="Arial"/>
              </w:rPr>
              <w:t>valitu</w:t>
            </w:r>
            <w:r>
              <w:rPr>
                <w:rFonts w:ascii="Arial" w:hAnsi="Arial" w:cs="Arial"/>
              </w:rPr>
              <w:t xml:space="preserve"> řešení těchto projektů</w:t>
            </w:r>
            <w:r w:rsidRPr="000B16B2">
              <w:rPr>
                <w:rFonts w:ascii="Arial" w:hAnsi="Arial" w:cs="Arial"/>
              </w:rPr>
              <w:t xml:space="preserve"> podtrhuje také skutečnosti, že </w:t>
            </w:r>
            <w:r>
              <w:rPr>
                <w:rFonts w:ascii="Arial" w:hAnsi="Arial" w:cs="Arial"/>
              </w:rPr>
              <w:t>dva</w:t>
            </w:r>
            <w:r w:rsidRPr="000B16B2">
              <w:rPr>
                <w:rFonts w:ascii="Arial" w:hAnsi="Arial" w:cs="Arial"/>
              </w:rPr>
              <w:t xml:space="preserve"> z nich byly </w:t>
            </w:r>
            <w:r>
              <w:rPr>
                <w:rFonts w:ascii="Arial" w:hAnsi="Arial" w:cs="Arial"/>
              </w:rPr>
              <w:t>navrženy na</w:t>
            </w:r>
            <w:r w:rsidRPr="000B16B2">
              <w:rPr>
                <w:rFonts w:ascii="Arial" w:hAnsi="Arial" w:cs="Arial"/>
              </w:rPr>
              <w:t xml:space="preserve"> cenu ministra zdravotnictví za zdravotnický výzkum.</w:t>
            </w:r>
            <w:r>
              <w:rPr>
                <w:rFonts w:ascii="Arial" w:hAnsi="Arial" w:cs="Arial"/>
              </w:rPr>
              <w:t xml:space="preserve"> Kromě toho IKEM koordinátorem </w:t>
            </w:r>
            <w:r w:rsidRPr="003C7244">
              <w:rPr>
                <w:rFonts w:ascii="Arial" w:hAnsi="Arial" w:cs="Arial"/>
              </w:rPr>
              <w:t>Národní</w:t>
            </w:r>
            <w:r>
              <w:rPr>
                <w:rFonts w:ascii="Arial" w:hAnsi="Arial" w:cs="Arial"/>
              </w:rPr>
              <w:t>ho</w:t>
            </w:r>
            <w:r w:rsidRPr="003C7244">
              <w:rPr>
                <w:rFonts w:ascii="Arial" w:hAnsi="Arial" w:cs="Arial"/>
              </w:rPr>
              <w:t xml:space="preserve"> institut</w:t>
            </w:r>
            <w:r>
              <w:rPr>
                <w:rFonts w:ascii="Arial" w:hAnsi="Arial" w:cs="Arial"/>
              </w:rPr>
              <w:t>u</w:t>
            </w:r>
            <w:r w:rsidRPr="003C7244">
              <w:rPr>
                <w:rFonts w:ascii="Arial" w:hAnsi="Arial" w:cs="Arial"/>
              </w:rPr>
              <w:t xml:space="preserve"> pro výzkum metabolických a kardiovaskulárních onemocnění</w:t>
            </w:r>
            <w:r>
              <w:rPr>
                <w:rFonts w:ascii="Arial" w:hAnsi="Arial" w:cs="Arial"/>
              </w:rPr>
              <w:t xml:space="preserve"> (</w:t>
            </w:r>
            <w:proofErr w:type="spellStart"/>
            <w:r>
              <w:rPr>
                <w:rFonts w:ascii="Arial" w:hAnsi="Arial" w:cs="Arial"/>
              </w:rPr>
              <w:t>Cardia</w:t>
            </w:r>
            <w:proofErr w:type="spellEnd"/>
            <w:r>
              <w:rPr>
                <w:rFonts w:ascii="Arial" w:hAnsi="Arial" w:cs="Arial"/>
              </w:rPr>
              <w:t>)</w:t>
            </w:r>
            <w:r w:rsidR="00E0125C">
              <w:rPr>
                <w:rFonts w:ascii="Arial" w:hAnsi="Arial" w:cs="Arial"/>
              </w:rPr>
              <w:t>.</w:t>
            </w:r>
          </w:p>
          <w:p w14:paraId="6107F8C9" w14:textId="77777777" w:rsidR="00135E8A" w:rsidRPr="00C03EF4" w:rsidRDefault="00135E8A" w:rsidP="00B8630A">
            <w:pPr>
              <w:jc w:val="both"/>
              <w:rPr>
                <w:rFonts w:ascii="Arial" w:hAnsi="Arial" w:cs="Arial"/>
                <w:iCs/>
              </w:rPr>
            </w:pPr>
            <w:r w:rsidRPr="000B16B2">
              <w:rPr>
                <w:rFonts w:ascii="Arial" w:hAnsi="Arial" w:cs="Arial"/>
                <w:color w:val="000000" w:themeColor="text1"/>
              </w:rPr>
              <w:t xml:space="preserve">V oblasti ekonomického dopadu uvádí VO </w:t>
            </w:r>
            <w:r w:rsidRPr="000B16B2">
              <w:rPr>
                <w:rFonts w:ascii="Arial" w:hAnsi="Arial" w:cs="Arial"/>
                <w:iCs/>
              </w:rPr>
              <w:t>jeden užitný vzor</w:t>
            </w:r>
            <w:r>
              <w:rPr>
                <w:rFonts w:ascii="Arial" w:hAnsi="Arial" w:cs="Arial"/>
                <w:iCs/>
              </w:rPr>
              <w:t xml:space="preserve"> a jeden software</w:t>
            </w:r>
            <w:r w:rsidRPr="000B16B2">
              <w:rPr>
                <w:rFonts w:ascii="Arial" w:hAnsi="Arial" w:cs="Arial"/>
                <w:iCs/>
              </w:rPr>
              <w:t xml:space="preserve">, včetně odhadu </w:t>
            </w:r>
            <w:r>
              <w:rPr>
                <w:rFonts w:ascii="Arial" w:hAnsi="Arial" w:cs="Arial"/>
                <w:iCs/>
              </w:rPr>
              <w:t>jejich</w:t>
            </w:r>
            <w:r w:rsidRPr="000B16B2">
              <w:rPr>
                <w:rFonts w:ascii="Arial" w:hAnsi="Arial" w:cs="Arial"/>
                <w:iCs/>
              </w:rPr>
              <w:t xml:space="preserve"> ekonomických dopadů pro VO. Jako další výsledky VO </w:t>
            </w:r>
            <w:r>
              <w:rPr>
                <w:rFonts w:ascii="Arial" w:hAnsi="Arial" w:cs="Arial"/>
                <w:iCs/>
              </w:rPr>
              <w:t xml:space="preserve">tři publikace </w:t>
            </w:r>
            <w:proofErr w:type="spellStart"/>
            <w:r>
              <w:rPr>
                <w:rFonts w:ascii="Arial" w:hAnsi="Arial" w:cs="Arial"/>
                <w:iCs/>
              </w:rPr>
              <w:t>Jimp</w:t>
            </w:r>
            <w:proofErr w:type="spellEnd"/>
            <w:r>
              <w:rPr>
                <w:rFonts w:ascii="Arial" w:hAnsi="Arial" w:cs="Arial"/>
                <w:iCs/>
              </w:rPr>
              <w:t xml:space="preserve"> včetně odhadu ekonomických dopadů jejich implementace</w:t>
            </w:r>
            <w:r w:rsidRPr="000B16B2">
              <w:rPr>
                <w:rFonts w:ascii="Arial" w:hAnsi="Arial" w:cs="Arial"/>
                <w:iCs/>
              </w:rPr>
              <w:t>.</w:t>
            </w:r>
            <w:r>
              <w:rPr>
                <w:rFonts w:ascii="Arial" w:hAnsi="Arial" w:cs="Arial"/>
                <w:iCs/>
              </w:rPr>
              <w:t xml:space="preserve"> </w:t>
            </w:r>
            <w:r w:rsidRPr="000B16B2">
              <w:rPr>
                <w:rFonts w:ascii="Arial" w:hAnsi="Arial" w:cs="Arial"/>
              </w:rPr>
              <w:t xml:space="preserve">Při výběru výsledků se společenským dopadem se VO zaměřila výhradně na excelentní odborné originální práce, zveřejněné v časopisech prvního decilu, ve kterých měli autoři IKEM v autorském týmu klíčovou roli. U každé publikace je uveden jejich potenciální význam pro medicínu, a ve všech případech se jedná o práce se zásadním příspěvkem pro daný obor, které je třeba hodnotit vysoce pozitivně. </w:t>
            </w:r>
          </w:p>
          <w:p w14:paraId="09E03427" w14:textId="77777777" w:rsidR="00135E8A" w:rsidRPr="00AE4493" w:rsidRDefault="00135E8A" w:rsidP="00B8630A">
            <w:pPr>
              <w:jc w:val="both"/>
              <w:rPr>
                <w:rFonts w:ascii="Arial" w:hAnsi="Arial" w:cs="Arial"/>
                <w:color w:val="000000" w:themeColor="text1"/>
              </w:rPr>
            </w:pPr>
            <w:r w:rsidRPr="000B16B2">
              <w:rPr>
                <w:rFonts w:ascii="Arial" w:hAnsi="Arial" w:cs="Arial"/>
                <w:color w:val="000000" w:themeColor="text1"/>
              </w:rPr>
              <w:t xml:space="preserve">Významná ocenění pracovníků jsou </w:t>
            </w:r>
            <w:r>
              <w:rPr>
                <w:rFonts w:ascii="Arial" w:hAnsi="Arial" w:cs="Arial"/>
                <w:color w:val="000000" w:themeColor="text1"/>
              </w:rPr>
              <w:t xml:space="preserve">ocenění česká, v jednom případě slovenská, nicméně významná, </w:t>
            </w:r>
            <w:r w:rsidRPr="00AE4493">
              <w:rPr>
                <w:rFonts w:ascii="Arial" w:hAnsi="Arial" w:cs="Arial"/>
                <w:color w:val="000000" w:themeColor="text1"/>
              </w:rPr>
              <w:t xml:space="preserve">Česká hlava – cena </w:t>
            </w:r>
            <w:proofErr w:type="spellStart"/>
            <w:r w:rsidRPr="00AE4493">
              <w:rPr>
                <w:rFonts w:ascii="Arial" w:hAnsi="Arial" w:cs="Arial"/>
                <w:color w:val="000000" w:themeColor="text1"/>
              </w:rPr>
              <w:t>Lorem</w:t>
            </w:r>
            <w:proofErr w:type="spellEnd"/>
            <w:r>
              <w:rPr>
                <w:rFonts w:ascii="Arial" w:hAnsi="Arial" w:cs="Arial"/>
                <w:color w:val="000000" w:themeColor="text1"/>
              </w:rPr>
              <w:t xml:space="preserve">, </w:t>
            </w:r>
            <w:r w:rsidRPr="00AE4493">
              <w:rPr>
                <w:rFonts w:ascii="Arial" w:hAnsi="Arial" w:cs="Arial"/>
                <w:color w:val="000000" w:themeColor="text1"/>
              </w:rPr>
              <w:t>Vyznamenání Prezidenta republiky – medaile Za zásluhy 1. stupně za</w:t>
            </w:r>
            <w:r>
              <w:rPr>
                <w:rFonts w:ascii="Arial" w:hAnsi="Arial" w:cs="Arial"/>
                <w:color w:val="000000" w:themeColor="text1"/>
              </w:rPr>
              <w:t xml:space="preserve"> </w:t>
            </w:r>
            <w:r w:rsidRPr="00AE4493">
              <w:rPr>
                <w:rFonts w:ascii="Arial" w:hAnsi="Arial" w:cs="Arial"/>
                <w:color w:val="000000" w:themeColor="text1"/>
              </w:rPr>
              <w:t>zásluhy o stát v oblasti vědy</w:t>
            </w:r>
            <w:r>
              <w:rPr>
                <w:rFonts w:ascii="Arial" w:hAnsi="Arial" w:cs="Arial"/>
                <w:color w:val="000000" w:themeColor="text1"/>
              </w:rPr>
              <w:t xml:space="preserve">, a další. </w:t>
            </w:r>
            <w:r w:rsidRPr="000B16B2">
              <w:rPr>
                <w:rFonts w:ascii="Arial" w:hAnsi="Arial" w:cs="Arial"/>
                <w:color w:val="000000" w:themeColor="text1"/>
              </w:rPr>
              <w:t xml:space="preserve">Členství ve významných orgánech </w:t>
            </w:r>
            <w:proofErr w:type="spellStart"/>
            <w:r w:rsidRPr="000B16B2">
              <w:rPr>
                <w:rFonts w:ascii="Arial" w:hAnsi="Arial" w:cs="Arial"/>
                <w:color w:val="000000" w:themeColor="text1"/>
              </w:rPr>
              <w:t>VaVaI</w:t>
            </w:r>
            <w:proofErr w:type="spellEnd"/>
            <w:r w:rsidRPr="000B16B2">
              <w:rPr>
                <w:rFonts w:ascii="Arial" w:hAnsi="Arial" w:cs="Arial"/>
                <w:color w:val="000000" w:themeColor="text1"/>
              </w:rPr>
              <w:t xml:space="preserve"> je především v národních orgánech, ale existují i významné přesahy směrem k mezinárodním odborných společnostem. Pozitivně je třeba hodnotit vysoké a významné zapojení pracovníků VO do činnosti AZV ČR. </w:t>
            </w:r>
            <w:r w:rsidRPr="000B16B2">
              <w:rPr>
                <w:rFonts w:ascii="Arial" w:hAnsi="Arial" w:cs="Arial"/>
                <w:color w:val="212121"/>
                <w:lang w:eastAsia="en-GB"/>
              </w:rPr>
              <w:t>Rozsah a kvalita aplikovaného výzkumu</w:t>
            </w:r>
            <w:r>
              <w:rPr>
                <w:rFonts w:ascii="Arial" w:hAnsi="Arial" w:cs="Arial"/>
                <w:color w:val="212121"/>
                <w:lang w:eastAsia="en-GB"/>
              </w:rPr>
              <w:t xml:space="preserve"> a společenská relevance činnosti VO</w:t>
            </w:r>
            <w:r w:rsidRPr="000B16B2">
              <w:rPr>
                <w:rFonts w:ascii="Arial" w:hAnsi="Arial" w:cs="Arial"/>
                <w:color w:val="212121"/>
                <w:lang w:eastAsia="en-GB"/>
              </w:rPr>
              <w:t xml:space="preserve"> je</w:t>
            </w:r>
            <w:r>
              <w:rPr>
                <w:rFonts w:ascii="Arial" w:hAnsi="Arial" w:cs="Arial"/>
                <w:color w:val="212121"/>
                <w:lang w:eastAsia="en-GB"/>
              </w:rPr>
              <w:t xml:space="preserve"> i v roce 2023</w:t>
            </w:r>
            <w:r w:rsidRPr="000B16B2">
              <w:rPr>
                <w:rFonts w:ascii="Arial" w:hAnsi="Arial" w:cs="Arial"/>
                <w:color w:val="212121"/>
                <w:lang w:eastAsia="en-GB"/>
              </w:rPr>
              <w:t xml:space="preserve"> vynikající (A).</w:t>
            </w:r>
          </w:p>
          <w:p w14:paraId="7B53BD46" w14:textId="1EF9C106" w:rsidR="000B16B2" w:rsidRDefault="000B16B2" w:rsidP="00B8630A">
            <w:pPr>
              <w:pBdr>
                <w:bottom w:val="single" w:sz="6" w:space="1" w:color="auto"/>
              </w:pBdr>
              <w:jc w:val="both"/>
              <w:rPr>
                <w:rFonts w:ascii="Arial" w:hAnsi="Arial" w:cs="Arial"/>
                <w:color w:val="000000" w:themeColor="text1"/>
              </w:rPr>
            </w:pPr>
          </w:p>
          <w:p w14:paraId="2933F344" w14:textId="77777777" w:rsidR="00135E8A" w:rsidRDefault="00135E8A" w:rsidP="00B8630A">
            <w:pPr>
              <w:pBdr>
                <w:bottom w:val="single" w:sz="6" w:space="1" w:color="auto"/>
              </w:pBdr>
              <w:jc w:val="both"/>
              <w:rPr>
                <w:rFonts w:ascii="Arial" w:hAnsi="Arial" w:cs="Arial"/>
                <w:color w:val="212121"/>
                <w:lang w:eastAsia="en-GB"/>
              </w:rPr>
            </w:pPr>
          </w:p>
          <w:p w14:paraId="2AD68548" w14:textId="241D72B7" w:rsidR="005B46C3" w:rsidRDefault="005B46C3" w:rsidP="00B8630A">
            <w:pPr>
              <w:pStyle w:val="Zhlav"/>
              <w:jc w:val="both"/>
              <w:rPr>
                <w:rFonts w:ascii="Arial" w:hAnsi="Arial" w:cs="Arial"/>
                <w:szCs w:val="22"/>
              </w:rPr>
            </w:pPr>
          </w:p>
        </w:tc>
      </w:tr>
      <w:tr w:rsidR="005B46C3" w:rsidRPr="00CF734F" w14:paraId="5C72AB23" w14:textId="77777777" w:rsidTr="009B5451">
        <w:trPr>
          <w:trHeight w:val="255"/>
          <w:jc w:val="center"/>
        </w:trPr>
        <w:tc>
          <w:tcPr>
            <w:tcW w:w="2637" w:type="dxa"/>
            <w:tcBorders>
              <w:left w:val="single" w:sz="2" w:space="0" w:color="auto"/>
              <w:right w:val="single" w:sz="2" w:space="0" w:color="auto"/>
            </w:tcBorders>
            <w:shd w:val="clear" w:color="auto" w:fill="auto"/>
            <w:vAlign w:val="center"/>
          </w:tcPr>
          <w:p w14:paraId="58B31E18" w14:textId="078EC7C3" w:rsidR="005B46C3" w:rsidRDefault="005B46C3" w:rsidP="00B8630A">
            <w:pPr>
              <w:pStyle w:val="Zhlav"/>
              <w:jc w:val="both"/>
              <w:rPr>
                <w:rFonts w:ascii="Arial" w:hAnsi="Arial" w:cs="Arial"/>
                <w:b/>
                <w:szCs w:val="22"/>
              </w:rPr>
            </w:pPr>
            <w:r w:rsidRPr="00DB5CDA">
              <w:rPr>
                <w:rFonts w:ascii="Arial" w:hAnsi="Arial" w:cs="Arial"/>
                <w:b/>
                <w:szCs w:val="22"/>
              </w:rPr>
              <w:t xml:space="preserve">Modul </w:t>
            </w:r>
            <w:r>
              <w:rPr>
                <w:rFonts w:ascii="Arial" w:hAnsi="Arial" w:cs="Arial"/>
                <w:b/>
                <w:szCs w:val="22"/>
              </w:rPr>
              <w:t>4</w:t>
            </w:r>
            <w:r w:rsidRPr="00DB5CDA">
              <w:rPr>
                <w:rFonts w:ascii="Arial" w:hAnsi="Arial" w:cs="Arial"/>
                <w:b/>
                <w:szCs w:val="22"/>
              </w:rPr>
              <w:t xml:space="preserve"> –</w:t>
            </w:r>
            <w:proofErr w:type="spellStart"/>
            <w:r>
              <w:rPr>
                <w:rFonts w:ascii="Arial" w:hAnsi="Arial" w:cs="Arial"/>
                <w:b/>
                <w:szCs w:val="22"/>
              </w:rPr>
              <w:t>Viabilita</w:t>
            </w:r>
            <w:proofErr w:type="spellEnd"/>
            <w:r w:rsidRPr="00DB5CDA">
              <w:rPr>
                <w:rFonts w:ascii="Arial" w:hAnsi="Arial" w:cs="Arial"/>
                <w:b/>
                <w:szCs w:val="22"/>
              </w:rPr>
              <w:t xml:space="preserve"> výzkumu</w:t>
            </w:r>
            <w:r>
              <w:rPr>
                <w:rFonts w:ascii="Arial" w:hAnsi="Arial" w:cs="Arial"/>
                <w:b/>
                <w:szCs w:val="22"/>
              </w:rPr>
              <w:t xml:space="preserve"> B</w:t>
            </w:r>
          </w:p>
          <w:p w14:paraId="6A966CB6" w14:textId="77777777" w:rsidR="005B46C3" w:rsidRDefault="005B46C3" w:rsidP="00B8630A">
            <w:pPr>
              <w:pStyle w:val="Zhlav"/>
              <w:jc w:val="both"/>
              <w:rPr>
                <w:rFonts w:ascii="Arial" w:hAnsi="Arial" w:cs="Arial"/>
                <w:b/>
                <w:szCs w:val="22"/>
              </w:rPr>
            </w:pPr>
          </w:p>
          <w:p w14:paraId="27D574D6" w14:textId="77777777" w:rsidR="005B46C3" w:rsidRDefault="005B46C3" w:rsidP="00B8630A">
            <w:pPr>
              <w:pStyle w:val="Zhlav"/>
              <w:jc w:val="both"/>
              <w:rPr>
                <w:rFonts w:ascii="Arial" w:hAnsi="Arial" w:cs="Arial"/>
                <w:b/>
                <w:szCs w:val="22"/>
              </w:rPr>
            </w:pPr>
          </w:p>
          <w:p w14:paraId="2FC08D29" w14:textId="26D597FC" w:rsidR="005B46C3" w:rsidRPr="00DB5CDA" w:rsidRDefault="005B46C3" w:rsidP="00B8630A">
            <w:pPr>
              <w:pStyle w:val="Zhlav"/>
              <w:jc w:val="both"/>
              <w:rPr>
                <w:rFonts w:ascii="Arial" w:hAnsi="Arial" w:cs="Arial"/>
                <w:b/>
                <w:smallCaps/>
                <w:spacing w:val="20"/>
                <w:szCs w:val="22"/>
              </w:rPr>
            </w:pPr>
          </w:p>
        </w:tc>
        <w:tc>
          <w:tcPr>
            <w:tcW w:w="6999" w:type="dxa"/>
            <w:gridSpan w:val="6"/>
            <w:tcBorders>
              <w:left w:val="single" w:sz="2" w:space="0" w:color="auto"/>
              <w:right w:val="single" w:sz="2" w:space="0" w:color="auto"/>
            </w:tcBorders>
            <w:shd w:val="clear" w:color="auto" w:fill="auto"/>
            <w:vAlign w:val="center"/>
          </w:tcPr>
          <w:p w14:paraId="46B3222F" w14:textId="77777777" w:rsidR="00FD3081" w:rsidRDefault="00FD3081" w:rsidP="00B8630A">
            <w:pPr>
              <w:jc w:val="both"/>
              <w:rPr>
                <w:rFonts w:ascii="Arial" w:hAnsi="Arial" w:cs="Arial"/>
              </w:rPr>
            </w:pPr>
            <w:r w:rsidRPr="00993B6D">
              <w:rPr>
                <w:rFonts w:ascii="Arial" w:hAnsi="Arial" w:cs="Arial"/>
              </w:rPr>
              <w:t xml:space="preserve">Komise </w:t>
            </w:r>
            <w:r>
              <w:rPr>
                <w:rFonts w:ascii="Arial" w:hAnsi="Arial" w:cs="Arial"/>
              </w:rPr>
              <w:t xml:space="preserve">oceňuje detailní rozbor jejich doporučení, které VO dodala, a které se VO rozhodla neakceptovat, resp. neimplementovat. Bohužel ze zdůvodnění, které komise obdržela, vyplynuly daleko závažnější nedostatky než ty, které byly v podkladech pro vstupní hodnocení. Především je naprosto neakceptovatelné a zcela v rozporu s principy alokace prostředků pro DKRVO, tyto rozdělovat na základě vnitřní grantové soutěže, v podstatě jde o vnitřní převod prostředků DKRVO (institucionální podpory) určených pro dlouhodobou stabilizaci výzkumných týmů VO do prostředků účelové podpory. Jedná se o </w:t>
            </w:r>
            <w:r>
              <w:rPr>
                <w:rFonts w:ascii="Arial" w:hAnsi="Arial" w:cs="Arial"/>
              </w:rPr>
              <w:lastRenderedPageBreak/>
              <w:t>zcela zásadní a hrubé pochybení při nakládání s prostředky pro DKRVO. Je akceptovatelné, aby minoritní podíl celkového rozpočtu IPO pro VO byl použit pro vnitřní soutěž na podporu juniorních výzkumníků případně tvorbu pilotních předběžných dat pro grantové projekty, ale v žádném případě ne v podobě aplikované v IKEM. V této věci musí dojít k okamžité nápravě. Z toho důvodu také připodobňování řízení VO k řízení poskytovatele účelové podpory (GAČR, AZVČR) je velice nešťastné a neodpovídající potřebám moderní VO. Komise proto žádá, aby VO ještě jednou posoudila doporučení uvedená níže, která i nadále trvají.</w:t>
            </w:r>
          </w:p>
          <w:p w14:paraId="61333BB1" w14:textId="77777777" w:rsidR="00FD3081" w:rsidRDefault="00FD3081" w:rsidP="00B8630A">
            <w:pPr>
              <w:jc w:val="both"/>
              <w:rPr>
                <w:rFonts w:ascii="Arial" w:hAnsi="Arial" w:cs="Arial"/>
                <w:szCs w:val="22"/>
              </w:rPr>
            </w:pPr>
            <w:r w:rsidRPr="00075A58">
              <w:rPr>
                <w:rFonts w:ascii="Arial" w:hAnsi="Arial" w:cs="Arial"/>
                <w:szCs w:val="22"/>
              </w:rPr>
              <w:t xml:space="preserve">Na základě organizační struktury VO není oblast </w:t>
            </w:r>
            <w:proofErr w:type="spellStart"/>
            <w:r w:rsidRPr="00075A58">
              <w:rPr>
                <w:rFonts w:ascii="Arial" w:hAnsi="Arial" w:cs="Arial"/>
                <w:szCs w:val="22"/>
              </w:rPr>
              <w:t>VaVaI</w:t>
            </w:r>
            <w:proofErr w:type="spellEnd"/>
            <w:r w:rsidRPr="00075A58">
              <w:rPr>
                <w:rFonts w:ascii="Arial" w:hAnsi="Arial" w:cs="Arial"/>
                <w:szCs w:val="22"/>
              </w:rPr>
              <w:t xml:space="preserve"> dostatečně významně</w:t>
            </w:r>
            <w:r>
              <w:rPr>
                <w:rFonts w:ascii="Arial" w:hAnsi="Arial" w:cs="Arial"/>
                <w:szCs w:val="22"/>
              </w:rPr>
              <w:t xml:space="preserve"> </w:t>
            </w:r>
            <w:r w:rsidRPr="00075A58">
              <w:rPr>
                <w:rFonts w:ascii="Arial" w:hAnsi="Arial" w:cs="Arial"/>
                <w:szCs w:val="22"/>
              </w:rPr>
              <w:t xml:space="preserve">reprezentována v jejich řídících orgánech a ani orgány pro podporu </w:t>
            </w:r>
            <w:proofErr w:type="spellStart"/>
            <w:r w:rsidRPr="00075A58">
              <w:rPr>
                <w:rFonts w:ascii="Arial" w:hAnsi="Arial" w:cs="Arial"/>
                <w:szCs w:val="22"/>
              </w:rPr>
              <w:t>VaVaI</w:t>
            </w:r>
            <w:proofErr w:type="spellEnd"/>
            <w:r w:rsidRPr="00075A58">
              <w:rPr>
                <w:rFonts w:ascii="Arial" w:hAnsi="Arial" w:cs="Arial"/>
                <w:szCs w:val="22"/>
              </w:rPr>
              <w:t xml:space="preserve"> nejsou dostatečně významně ukotveny v organizační struktuře. V organizační struktuře IKEM je administrativní orgán dedikovaný podpoře </w:t>
            </w:r>
            <w:proofErr w:type="spellStart"/>
            <w:r w:rsidRPr="00075A58">
              <w:rPr>
                <w:rFonts w:ascii="Arial" w:hAnsi="Arial" w:cs="Arial"/>
                <w:szCs w:val="22"/>
              </w:rPr>
              <w:t>VaVaI</w:t>
            </w:r>
            <w:proofErr w:type="spellEnd"/>
            <w:r w:rsidRPr="00075A58">
              <w:rPr>
                <w:rFonts w:ascii="Arial" w:hAnsi="Arial" w:cs="Arial"/>
                <w:szCs w:val="22"/>
              </w:rPr>
              <w:t xml:space="preserve"> pouze Grantové oddělení v rámci Úseku ekonomického a provozního, toto nepovažujeme za dostatečné. Vzhledem k rozsáhlé grantové činnosti a velice kvalitním výsledkům výzkumu je zřejmé, že k potřebné podpoře </w:t>
            </w:r>
            <w:proofErr w:type="spellStart"/>
            <w:r w:rsidRPr="00075A58">
              <w:rPr>
                <w:rFonts w:ascii="Arial" w:hAnsi="Arial" w:cs="Arial"/>
                <w:szCs w:val="22"/>
              </w:rPr>
              <w:t>VaVaI</w:t>
            </w:r>
            <w:proofErr w:type="spellEnd"/>
            <w:r w:rsidRPr="00075A58">
              <w:rPr>
                <w:rFonts w:ascii="Arial" w:hAnsi="Arial" w:cs="Arial"/>
                <w:szCs w:val="22"/>
              </w:rPr>
              <w:t xml:space="preserve"> na úrovni VO musí docházet, ale z organizační struktury není zřejmé, jak je toto zajišťováno. Je zřejmé, že i přes nedostatečnou autonomii a přímé vedení zodpovědným náměstkem odvádějí pracovníci Grantové oddělení pro výzkumníky v IKEM nadstandardně kvalitní podpůrnou činnost. Problematika podpory činností </w:t>
            </w:r>
            <w:proofErr w:type="spellStart"/>
            <w:r w:rsidRPr="00075A58">
              <w:rPr>
                <w:rFonts w:ascii="Arial" w:hAnsi="Arial" w:cs="Arial"/>
                <w:szCs w:val="22"/>
              </w:rPr>
              <w:t>VaVaI</w:t>
            </w:r>
            <w:proofErr w:type="spellEnd"/>
            <w:r w:rsidRPr="00075A58">
              <w:rPr>
                <w:rFonts w:ascii="Arial" w:hAnsi="Arial" w:cs="Arial"/>
                <w:szCs w:val="22"/>
              </w:rPr>
              <w:t xml:space="preserve"> je svojí naplní odlišná od běžné THP činnosti v rámci zdravotnických zařízení, a vyžaduje dedikované pracovníky s potřebnou expertízou (např. problematika evropských dotací pro infrastrukturní rozvoj zdravotnického zařízení není srovnatelný s problematikou evropských výzkumných grantů Horizont Evropa, ERC apod.). Excelentní VO jako je IKEM by si zcela jistě zasloužila významnější reprezentaci orgánů </w:t>
            </w:r>
            <w:proofErr w:type="spellStart"/>
            <w:r w:rsidRPr="00075A58">
              <w:rPr>
                <w:rFonts w:ascii="Arial" w:hAnsi="Arial" w:cs="Arial"/>
                <w:szCs w:val="22"/>
              </w:rPr>
              <w:t>VaVaI</w:t>
            </w:r>
            <w:proofErr w:type="spellEnd"/>
            <w:r w:rsidRPr="00075A58">
              <w:rPr>
                <w:rFonts w:ascii="Arial" w:hAnsi="Arial" w:cs="Arial"/>
                <w:szCs w:val="22"/>
              </w:rPr>
              <w:t xml:space="preserve"> jak ve vedení, tak ve struktuře organizace, minimálně v rozsahu srovnatelném s jinými VO </w:t>
            </w:r>
            <w:proofErr w:type="spellStart"/>
            <w:r w:rsidRPr="00075A58">
              <w:rPr>
                <w:rFonts w:ascii="Arial" w:hAnsi="Arial" w:cs="Arial"/>
                <w:szCs w:val="22"/>
              </w:rPr>
              <w:t>MZd</w:t>
            </w:r>
            <w:proofErr w:type="spellEnd"/>
            <w:r w:rsidRPr="00075A58">
              <w:rPr>
                <w:rFonts w:ascii="Arial" w:hAnsi="Arial" w:cs="Arial"/>
                <w:szCs w:val="22"/>
              </w:rPr>
              <w:t xml:space="preserve">. Z hlediska organizace </w:t>
            </w:r>
            <w:proofErr w:type="spellStart"/>
            <w:r w:rsidRPr="00075A58">
              <w:rPr>
                <w:rFonts w:ascii="Arial" w:hAnsi="Arial" w:cs="Arial"/>
                <w:szCs w:val="22"/>
              </w:rPr>
              <w:t>VaVaI</w:t>
            </w:r>
            <w:proofErr w:type="spellEnd"/>
            <w:r w:rsidRPr="00075A58">
              <w:rPr>
                <w:rFonts w:ascii="Arial" w:hAnsi="Arial" w:cs="Arial"/>
                <w:szCs w:val="22"/>
              </w:rPr>
              <w:t xml:space="preserve"> není optimální ani umístění experimentální základny Centra experimentální medicíny IKEM pod generický Úsek strategie a rozvoje. I tato organizační jednotka by měla v optimálním případě spadat pod pozici náměstka pro vědu a výzkum. Analogicky Oddělení informačních elektronických zdrojů a datové vědy by skrze svoji věcnou náplň mělo spadat pod příslušný usek </w:t>
            </w:r>
            <w:proofErr w:type="spellStart"/>
            <w:r w:rsidRPr="00075A58">
              <w:rPr>
                <w:rFonts w:ascii="Arial" w:hAnsi="Arial" w:cs="Arial"/>
                <w:szCs w:val="22"/>
              </w:rPr>
              <w:t>VaVaI</w:t>
            </w:r>
            <w:proofErr w:type="spellEnd"/>
            <w:r w:rsidRPr="00075A58">
              <w:rPr>
                <w:rFonts w:ascii="Arial" w:hAnsi="Arial" w:cs="Arial"/>
                <w:szCs w:val="22"/>
              </w:rPr>
              <w:t xml:space="preserve"> nikoliv obecně zaměřené Oddělení informatiky zpravující NIS apod. VO provozuje společnou Etickou komisi IKEM a FTN.</w:t>
            </w:r>
          </w:p>
          <w:p w14:paraId="0585D9B5" w14:textId="103F277A" w:rsidR="00FD3081" w:rsidRPr="00075A58" w:rsidRDefault="00FD3081" w:rsidP="00B8630A">
            <w:pPr>
              <w:jc w:val="both"/>
              <w:rPr>
                <w:rFonts w:ascii="Arial" w:hAnsi="Arial" w:cs="Arial"/>
                <w:szCs w:val="22"/>
              </w:rPr>
            </w:pPr>
            <w:r w:rsidRPr="00075A58">
              <w:rPr>
                <w:rFonts w:ascii="Arial" w:hAnsi="Arial" w:cs="Arial"/>
                <w:szCs w:val="22"/>
              </w:rPr>
              <w:t xml:space="preserve">Rozhodování o využití DKRVO </w:t>
            </w:r>
            <w:r>
              <w:rPr>
                <w:rFonts w:ascii="Arial" w:hAnsi="Arial" w:cs="Arial"/>
                <w:szCs w:val="22"/>
              </w:rPr>
              <w:t>pouze poradou vedení IKEM je naprosto nedostatečné a nesystémové</w:t>
            </w:r>
            <w:r w:rsidRPr="00075A58">
              <w:rPr>
                <w:rFonts w:ascii="Arial" w:hAnsi="Arial" w:cs="Arial"/>
                <w:szCs w:val="22"/>
              </w:rPr>
              <w:t>.</w:t>
            </w:r>
            <w:r>
              <w:rPr>
                <w:rFonts w:ascii="Arial" w:hAnsi="Arial" w:cs="Arial"/>
                <w:szCs w:val="22"/>
              </w:rPr>
              <w:t xml:space="preserve"> Je nezbytná transparentní metodika, která pro vědce a výzkumné týmy VO definuje jasné a předvídatelné podmínky pro jejich financování nezávislé na aktuálním personálním obsazení „porady vedení“.</w:t>
            </w:r>
            <w:r w:rsidRPr="00075A58">
              <w:rPr>
                <w:rFonts w:ascii="Arial" w:hAnsi="Arial" w:cs="Arial"/>
                <w:szCs w:val="22"/>
              </w:rPr>
              <w:t xml:space="preserve"> Dělba DKRVO, tak aby byla dostatečně transparentní a motivační by </w:t>
            </w:r>
            <w:r>
              <w:rPr>
                <w:rFonts w:ascii="Arial" w:hAnsi="Arial" w:cs="Arial"/>
                <w:szCs w:val="22"/>
              </w:rPr>
              <w:t xml:space="preserve">proto </w:t>
            </w:r>
            <w:r w:rsidRPr="00075A58">
              <w:rPr>
                <w:rFonts w:ascii="Arial" w:hAnsi="Arial" w:cs="Arial"/>
                <w:szCs w:val="22"/>
              </w:rPr>
              <w:t xml:space="preserve">měla být ošetřena směrnicí či metodikou, ze které bude jednoznačně vyplývat na základě jakých pravidel (obvykle výkonových) je přidělována podpora jednotlivým pracovištím/týmům. Prostředky DKRVO jsou </w:t>
            </w:r>
            <w:r>
              <w:rPr>
                <w:rFonts w:ascii="Arial" w:hAnsi="Arial" w:cs="Arial"/>
                <w:szCs w:val="22"/>
              </w:rPr>
              <w:t xml:space="preserve">v IKEM </w:t>
            </w:r>
            <w:r w:rsidRPr="00075A58">
              <w:rPr>
                <w:rFonts w:ascii="Arial" w:hAnsi="Arial" w:cs="Arial"/>
                <w:szCs w:val="22"/>
              </w:rPr>
              <w:t xml:space="preserve">distribuovány přibližně v následující struktuře: </w:t>
            </w:r>
            <w:r>
              <w:rPr>
                <w:rFonts w:ascii="Arial" w:hAnsi="Arial" w:cs="Arial"/>
                <w:szCs w:val="22"/>
              </w:rPr>
              <w:t>55</w:t>
            </w:r>
            <w:r w:rsidRPr="00075A58">
              <w:rPr>
                <w:rFonts w:ascii="Arial" w:hAnsi="Arial" w:cs="Arial"/>
                <w:szCs w:val="22"/>
              </w:rPr>
              <w:t>% personální náklady, 2</w:t>
            </w:r>
            <w:r>
              <w:rPr>
                <w:rFonts w:ascii="Arial" w:hAnsi="Arial" w:cs="Arial"/>
                <w:szCs w:val="22"/>
              </w:rPr>
              <w:t>5</w:t>
            </w:r>
            <w:r w:rsidRPr="00075A58">
              <w:rPr>
                <w:rFonts w:ascii="Arial" w:hAnsi="Arial" w:cs="Arial"/>
                <w:szCs w:val="22"/>
              </w:rPr>
              <w:t xml:space="preserve">% spotřební materiál a </w:t>
            </w:r>
            <w:r>
              <w:rPr>
                <w:rFonts w:ascii="Arial" w:hAnsi="Arial" w:cs="Arial"/>
                <w:szCs w:val="22"/>
              </w:rPr>
              <w:t>9</w:t>
            </w:r>
            <w:r w:rsidR="00B8630A">
              <w:rPr>
                <w:rFonts w:ascii="Arial" w:hAnsi="Arial" w:cs="Arial"/>
                <w:szCs w:val="22"/>
              </w:rPr>
              <w:t xml:space="preserve"> </w:t>
            </w:r>
            <w:r w:rsidRPr="00075A58">
              <w:rPr>
                <w:rFonts w:ascii="Arial" w:hAnsi="Arial" w:cs="Arial"/>
                <w:szCs w:val="22"/>
              </w:rPr>
              <w:t xml:space="preserve">% do rozvoje infrastruktury-investic. Příjmy z účelové podpory byly v hodnocením období </w:t>
            </w:r>
            <w:r>
              <w:rPr>
                <w:rFonts w:ascii="Arial" w:hAnsi="Arial" w:cs="Arial"/>
                <w:szCs w:val="22"/>
              </w:rPr>
              <w:t>6</w:t>
            </w:r>
            <w:r w:rsidRPr="00075A58">
              <w:rPr>
                <w:rFonts w:ascii="Arial" w:hAnsi="Arial" w:cs="Arial"/>
                <w:szCs w:val="22"/>
              </w:rPr>
              <w:t>8</w:t>
            </w:r>
            <w:r w:rsidR="00B8630A">
              <w:rPr>
                <w:rFonts w:ascii="Arial" w:hAnsi="Arial" w:cs="Arial"/>
                <w:szCs w:val="22"/>
              </w:rPr>
              <w:t xml:space="preserve"> </w:t>
            </w:r>
            <w:r w:rsidRPr="00075A58">
              <w:rPr>
                <w:rFonts w:ascii="Arial" w:hAnsi="Arial" w:cs="Arial"/>
                <w:szCs w:val="22"/>
              </w:rPr>
              <w:t xml:space="preserve">%, DKRVO činila celkem </w:t>
            </w:r>
            <w:proofErr w:type="gramStart"/>
            <w:r>
              <w:rPr>
                <w:rFonts w:ascii="Arial" w:hAnsi="Arial" w:cs="Arial"/>
                <w:szCs w:val="22"/>
              </w:rPr>
              <w:t>32</w:t>
            </w:r>
            <w:r w:rsidRPr="00075A58">
              <w:rPr>
                <w:rFonts w:ascii="Arial" w:hAnsi="Arial" w:cs="Arial"/>
                <w:szCs w:val="22"/>
              </w:rPr>
              <w:t>%</w:t>
            </w:r>
            <w:proofErr w:type="gramEnd"/>
            <w:r w:rsidRPr="00075A58">
              <w:rPr>
                <w:rFonts w:ascii="Arial" w:hAnsi="Arial" w:cs="Arial"/>
                <w:szCs w:val="22"/>
              </w:rPr>
              <w:t xml:space="preserve"> tedy. Vyšší příjmy na straně účelové podpory </w:t>
            </w:r>
            <w:r>
              <w:rPr>
                <w:rFonts w:ascii="Arial" w:hAnsi="Arial" w:cs="Arial"/>
                <w:szCs w:val="22"/>
              </w:rPr>
              <w:t xml:space="preserve">lze považovat </w:t>
            </w:r>
            <w:r w:rsidRPr="00075A58">
              <w:rPr>
                <w:rFonts w:ascii="Arial" w:hAnsi="Arial" w:cs="Arial"/>
                <w:szCs w:val="22"/>
              </w:rPr>
              <w:t xml:space="preserve">za pozitivní indikátor kvality VO. </w:t>
            </w:r>
            <w:r w:rsidRPr="00075A58">
              <w:rPr>
                <w:rFonts w:ascii="Arial" w:hAnsi="Arial" w:cs="Arial"/>
                <w:color w:val="000000" w:themeColor="text1"/>
                <w:szCs w:val="22"/>
              </w:rPr>
              <w:t xml:space="preserve">Za dobrou praxi lze považovat část zisků z komerčních KHLP alokovat na </w:t>
            </w:r>
            <w:r w:rsidRPr="00075A58">
              <w:rPr>
                <w:rFonts w:ascii="Arial" w:hAnsi="Arial" w:cs="Arial"/>
                <w:color w:val="000000" w:themeColor="text1"/>
                <w:szCs w:val="22"/>
              </w:rPr>
              <w:lastRenderedPageBreak/>
              <w:t xml:space="preserve">podporu </w:t>
            </w:r>
            <w:r>
              <w:rPr>
                <w:rFonts w:ascii="Arial" w:hAnsi="Arial" w:cs="Arial"/>
                <w:color w:val="000000" w:themeColor="text1"/>
                <w:szCs w:val="22"/>
              </w:rPr>
              <w:t xml:space="preserve">nekomerčních </w:t>
            </w:r>
            <w:r w:rsidRPr="00075A58">
              <w:rPr>
                <w:rFonts w:ascii="Arial" w:hAnsi="Arial" w:cs="Arial"/>
                <w:color w:val="000000" w:themeColor="text1"/>
                <w:szCs w:val="22"/>
              </w:rPr>
              <w:t>KHL</w:t>
            </w:r>
            <w:r>
              <w:rPr>
                <w:rFonts w:ascii="Arial" w:hAnsi="Arial" w:cs="Arial"/>
                <w:color w:val="000000" w:themeColor="text1"/>
                <w:szCs w:val="22"/>
              </w:rPr>
              <w:t>P</w:t>
            </w:r>
            <w:r w:rsidRPr="00075A58">
              <w:rPr>
                <w:rFonts w:ascii="Arial" w:hAnsi="Arial" w:cs="Arial"/>
                <w:color w:val="000000" w:themeColor="text1"/>
                <w:szCs w:val="22"/>
              </w:rPr>
              <w:t>, není uvedeno, zda VO tento princip uplatňuje.</w:t>
            </w:r>
          </w:p>
          <w:p w14:paraId="7AFDB783" w14:textId="77777777" w:rsidR="00FD3081" w:rsidRPr="00075A58" w:rsidRDefault="00FD3081" w:rsidP="00B8630A">
            <w:pPr>
              <w:jc w:val="both"/>
              <w:rPr>
                <w:rFonts w:ascii="Arial" w:hAnsi="Arial" w:cs="Arial"/>
                <w:szCs w:val="22"/>
              </w:rPr>
            </w:pPr>
            <w:r w:rsidRPr="00075A58">
              <w:rPr>
                <w:rFonts w:ascii="Arial" w:hAnsi="Arial" w:cs="Arial"/>
                <w:szCs w:val="22"/>
              </w:rPr>
              <w:t xml:space="preserve">Problematice kultury pracovního prostředí věnuje </w:t>
            </w:r>
            <w:r>
              <w:rPr>
                <w:rFonts w:ascii="Arial" w:hAnsi="Arial" w:cs="Arial"/>
                <w:szCs w:val="22"/>
              </w:rPr>
              <w:t xml:space="preserve">VO </w:t>
            </w:r>
            <w:r w:rsidRPr="00075A58">
              <w:rPr>
                <w:rFonts w:ascii="Arial" w:hAnsi="Arial" w:cs="Arial"/>
                <w:szCs w:val="22"/>
              </w:rPr>
              <w:t xml:space="preserve">dostatečnou pozornost a snaží se tak zvýšit atraktivnost pracoviště pro nově příchozí zaměstnance. VO prošla genderovým auditem a má vytvořený Plán rovnosti žen a mužů (GEP). Při plánování dalšího rozvoje oblasti </w:t>
            </w:r>
            <w:r>
              <w:rPr>
                <w:rFonts w:ascii="Arial" w:hAnsi="Arial" w:cs="Arial"/>
                <w:szCs w:val="22"/>
              </w:rPr>
              <w:t xml:space="preserve">HR </w:t>
            </w:r>
            <w:r w:rsidRPr="00075A58">
              <w:rPr>
                <w:rFonts w:ascii="Arial" w:hAnsi="Arial" w:cs="Arial"/>
                <w:szCs w:val="22"/>
              </w:rPr>
              <w:t xml:space="preserve">doporučujeme zvažovat například certifikaci HR </w:t>
            </w:r>
            <w:proofErr w:type="spellStart"/>
            <w:r w:rsidRPr="00075A58">
              <w:rPr>
                <w:rFonts w:ascii="Arial" w:hAnsi="Arial" w:cs="Arial"/>
                <w:szCs w:val="22"/>
              </w:rPr>
              <w:t>Award</w:t>
            </w:r>
            <w:proofErr w:type="spellEnd"/>
            <w:r w:rsidRPr="00075A58">
              <w:rPr>
                <w:rFonts w:ascii="Arial" w:hAnsi="Arial" w:cs="Arial"/>
                <w:szCs w:val="22"/>
              </w:rPr>
              <w:t xml:space="preserve">, tj. HR Excellence in </w:t>
            </w:r>
            <w:proofErr w:type="spellStart"/>
            <w:r w:rsidRPr="00075A58">
              <w:rPr>
                <w:rFonts w:ascii="Arial" w:hAnsi="Arial" w:cs="Arial"/>
                <w:szCs w:val="22"/>
              </w:rPr>
              <w:t>Research</w:t>
            </w:r>
            <w:proofErr w:type="spellEnd"/>
            <w:r w:rsidRPr="00075A58">
              <w:rPr>
                <w:rFonts w:ascii="Arial" w:hAnsi="Arial" w:cs="Arial"/>
                <w:szCs w:val="22"/>
              </w:rPr>
              <w:t>, nebo podobnou. V oblasti HR výzkumn</w:t>
            </w:r>
            <w:r>
              <w:rPr>
                <w:rFonts w:ascii="Arial" w:hAnsi="Arial" w:cs="Arial"/>
                <w:szCs w:val="22"/>
              </w:rPr>
              <w:t>ých</w:t>
            </w:r>
            <w:r w:rsidRPr="00075A58">
              <w:rPr>
                <w:rFonts w:ascii="Arial" w:hAnsi="Arial" w:cs="Arial"/>
                <w:szCs w:val="22"/>
              </w:rPr>
              <w:t xml:space="preserve"> pracovníku je nutný jasně definovaný karierní řád a specificky definovaný systém odměňování ve vazbě na výsledky jejich výzkumné činnosti ideálně v souvislosti s podporou alokovanou cestou DKRVO. Většina VO </w:t>
            </w:r>
            <w:proofErr w:type="spellStart"/>
            <w:r w:rsidRPr="00075A58">
              <w:rPr>
                <w:rFonts w:ascii="Arial" w:hAnsi="Arial" w:cs="Arial"/>
                <w:szCs w:val="22"/>
              </w:rPr>
              <w:t>MZd</w:t>
            </w:r>
            <w:proofErr w:type="spellEnd"/>
            <w:r w:rsidRPr="00075A58">
              <w:rPr>
                <w:rFonts w:ascii="Arial" w:hAnsi="Arial" w:cs="Arial"/>
                <w:szCs w:val="22"/>
              </w:rPr>
              <w:t xml:space="preserve"> má procesy v této oblasti takto nastaveny.</w:t>
            </w:r>
          </w:p>
          <w:p w14:paraId="727616B8" w14:textId="77777777" w:rsidR="00FD3081" w:rsidRPr="00075A58" w:rsidRDefault="00FD3081" w:rsidP="00B8630A">
            <w:pPr>
              <w:jc w:val="both"/>
              <w:rPr>
                <w:rFonts w:ascii="Arial" w:hAnsi="Arial" w:cs="Arial"/>
                <w:szCs w:val="22"/>
              </w:rPr>
            </w:pPr>
            <w:r w:rsidRPr="00075A58">
              <w:rPr>
                <w:rFonts w:ascii="Arial" w:hAnsi="Arial" w:cs="Arial"/>
                <w:szCs w:val="22"/>
              </w:rPr>
              <w:t>Ve VO pracovalo v roce 202</w:t>
            </w:r>
            <w:r>
              <w:rPr>
                <w:rFonts w:ascii="Arial" w:hAnsi="Arial" w:cs="Arial"/>
                <w:szCs w:val="22"/>
              </w:rPr>
              <w:t>3</w:t>
            </w:r>
            <w:r w:rsidRPr="00075A58">
              <w:rPr>
                <w:rFonts w:ascii="Arial" w:hAnsi="Arial" w:cs="Arial"/>
                <w:szCs w:val="22"/>
              </w:rPr>
              <w:t xml:space="preserve"> celkem 3</w:t>
            </w:r>
            <w:r>
              <w:rPr>
                <w:rFonts w:ascii="Arial" w:hAnsi="Arial" w:cs="Arial"/>
                <w:szCs w:val="22"/>
              </w:rPr>
              <w:t>1</w:t>
            </w:r>
            <w:r w:rsidRPr="00075A58">
              <w:rPr>
                <w:rFonts w:ascii="Arial" w:hAnsi="Arial" w:cs="Arial"/>
                <w:szCs w:val="22"/>
              </w:rPr>
              <w:t xml:space="preserve"> vedoucích výzkumných pracovníků z toho </w:t>
            </w:r>
            <w:r>
              <w:rPr>
                <w:rFonts w:ascii="Arial" w:hAnsi="Arial" w:cs="Arial"/>
                <w:szCs w:val="22"/>
              </w:rPr>
              <w:t>7</w:t>
            </w:r>
            <w:r w:rsidRPr="00075A58">
              <w:rPr>
                <w:rFonts w:ascii="Arial" w:hAnsi="Arial" w:cs="Arial"/>
                <w:szCs w:val="22"/>
              </w:rPr>
              <w:t xml:space="preserve"> žen, počet výzkumných pracovníků </w:t>
            </w:r>
            <w:r>
              <w:rPr>
                <w:rFonts w:ascii="Arial" w:hAnsi="Arial" w:cs="Arial"/>
                <w:szCs w:val="22"/>
              </w:rPr>
              <w:t>v roce 2022 by</w:t>
            </w:r>
            <w:r w:rsidRPr="00075A58">
              <w:rPr>
                <w:rFonts w:ascii="Arial" w:hAnsi="Arial" w:cs="Arial"/>
                <w:szCs w:val="22"/>
              </w:rPr>
              <w:t xml:space="preserve"> </w:t>
            </w:r>
            <w:r>
              <w:rPr>
                <w:rFonts w:ascii="Arial" w:hAnsi="Arial" w:cs="Arial"/>
                <w:szCs w:val="22"/>
              </w:rPr>
              <w:t>71</w:t>
            </w:r>
            <w:r w:rsidRPr="00075A58">
              <w:rPr>
                <w:rFonts w:ascii="Arial" w:hAnsi="Arial" w:cs="Arial"/>
                <w:szCs w:val="22"/>
              </w:rPr>
              <w:t>, v roce 202</w:t>
            </w:r>
            <w:r>
              <w:rPr>
                <w:rFonts w:ascii="Arial" w:hAnsi="Arial" w:cs="Arial"/>
                <w:szCs w:val="22"/>
              </w:rPr>
              <w:t>3</w:t>
            </w:r>
            <w:r w:rsidRPr="00075A58">
              <w:rPr>
                <w:rFonts w:ascii="Arial" w:hAnsi="Arial" w:cs="Arial"/>
                <w:szCs w:val="22"/>
              </w:rPr>
              <w:t xml:space="preserve"> potom 7</w:t>
            </w:r>
            <w:r>
              <w:rPr>
                <w:rFonts w:ascii="Arial" w:hAnsi="Arial" w:cs="Arial"/>
                <w:szCs w:val="22"/>
              </w:rPr>
              <w:t>0</w:t>
            </w:r>
            <w:r w:rsidRPr="00075A58">
              <w:rPr>
                <w:rFonts w:ascii="Arial" w:hAnsi="Arial" w:cs="Arial"/>
                <w:szCs w:val="22"/>
              </w:rPr>
              <w:t xml:space="preserve">, počet PhD studentů </w:t>
            </w:r>
            <w:r>
              <w:rPr>
                <w:rFonts w:ascii="Arial" w:hAnsi="Arial" w:cs="Arial"/>
                <w:szCs w:val="22"/>
              </w:rPr>
              <w:t>poklesl</w:t>
            </w:r>
            <w:r w:rsidRPr="00075A58">
              <w:rPr>
                <w:rFonts w:ascii="Arial" w:hAnsi="Arial" w:cs="Arial"/>
                <w:szCs w:val="22"/>
              </w:rPr>
              <w:t xml:space="preserve"> z</w:t>
            </w:r>
            <w:r>
              <w:rPr>
                <w:rFonts w:ascii="Arial" w:hAnsi="Arial" w:cs="Arial"/>
                <w:szCs w:val="22"/>
              </w:rPr>
              <w:t>e</w:t>
            </w:r>
            <w:r w:rsidRPr="00075A58">
              <w:rPr>
                <w:rFonts w:ascii="Arial" w:hAnsi="Arial" w:cs="Arial"/>
                <w:szCs w:val="22"/>
              </w:rPr>
              <w:t> </w:t>
            </w:r>
            <w:r>
              <w:rPr>
                <w:rFonts w:ascii="Arial" w:hAnsi="Arial" w:cs="Arial"/>
                <w:szCs w:val="22"/>
              </w:rPr>
              <w:t>100</w:t>
            </w:r>
            <w:r w:rsidRPr="00075A58">
              <w:rPr>
                <w:rFonts w:ascii="Arial" w:hAnsi="Arial" w:cs="Arial"/>
                <w:szCs w:val="22"/>
              </w:rPr>
              <w:t xml:space="preserve"> na </w:t>
            </w:r>
            <w:r>
              <w:rPr>
                <w:rFonts w:ascii="Arial" w:hAnsi="Arial" w:cs="Arial"/>
                <w:szCs w:val="22"/>
              </w:rPr>
              <w:t>93.</w:t>
            </w:r>
            <w:r w:rsidRPr="00075A58">
              <w:rPr>
                <w:rFonts w:ascii="Arial" w:hAnsi="Arial" w:cs="Arial"/>
                <w:szCs w:val="22"/>
              </w:rPr>
              <w:t xml:space="preserve"> </w:t>
            </w:r>
          </w:p>
          <w:p w14:paraId="375293E5" w14:textId="77777777" w:rsidR="00FD3081" w:rsidRPr="00075A58" w:rsidRDefault="00FD3081" w:rsidP="00B8630A">
            <w:pPr>
              <w:jc w:val="both"/>
              <w:rPr>
                <w:rFonts w:ascii="Arial" w:hAnsi="Arial" w:cs="Arial"/>
                <w:color w:val="000000" w:themeColor="text1"/>
                <w:szCs w:val="22"/>
              </w:rPr>
            </w:pPr>
            <w:r w:rsidRPr="00075A58">
              <w:rPr>
                <w:rFonts w:ascii="Arial" w:hAnsi="Arial" w:cs="Arial"/>
                <w:szCs w:val="22"/>
              </w:rPr>
              <w:t>Výzkumná infrastruktura IKEM odpovídá potřebám jednotlivých výzkumných tymů a je průběžně obnovována. VO je velice úspěšná v získávání rozvojových projektů MŠMT apod., které společně s prostředky DKRVO umožňují dlouhodobý infrastrukturní rozvoj. Pokud bude v této činnosti VO pokračovat</w:t>
            </w:r>
            <w:r>
              <w:rPr>
                <w:rFonts w:ascii="Arial" w:hAnsi="Arial" w:cs="Arial"/>
                <w:szCs w:val="22"/>
              </w:rPr>
              <w:t>,</w:t>
            </w:r>
            <w:r w:rsidRPr="00075A58">
              <w:rPr>
                <w:rFonts w:ascii="Arial" w:hAnsi="Arial" w:cs="Arial"/>
                <w:szCs w:val="22"/>
              </w:rPr>
              <w:t xml:space="preserve"> kvalita infrastrukturního zázemí potřebného pro moderní biomedicínský výzkum by měla být zajištěna. </w:t>
            </w:r>
            <w:r w:rsidRPr="00075A58">
              <w:rPr>
                <w:rFonts w:ascii="Arial" w:hAnsi="Arial" w:cs="Arial"/>
                <w:color w:val="000000" w:themeColor="text1"/>
                <w:szCs w:val="22"/>
              </w:rPr>
              <w:t>Současně ovšem VO neuvádí žádnou metodiku, kterou by monitorovala infrastrukturní potřeby jednotlivých</w:t>
            </w:r>
            <w:r>
              <w:rPr>
                <w:rFonts w:ascii="Arial" w:hAnsi="Arial" w:cs="Arial"/>
                <w:color w:val="000000" w:themeColor="text1"/>
                <w:szCs w:val="22"/>
              </w:rPr>
              <w:t xml:space="preserve"> </w:t>
            </w:r>
            <w:r w:rsidRPr="00075A58">
              <w:rPr>
                <w:rFonts w:ascii="Arial" w:hAnsi="Arial" w:cs="Arial"/>
                <w:color w:val="000000" w:themeColor="text1"/>
                <w:szCs w:val="22"/>
              </w:rPr>
              <w:t xml:space="preserve">pracovišť/výzkumných týmů pro jejich výzkumnou činnost a potažmo metodiku jejich prioritizace pro realizaci investičních záměrů. </w:t>
            </w:r>
          </w:p>
          <w:p w14:paraId="76008630" w14:textId="77777777" w:rsidR="00FD3081" w:rsidRPr="00075A58" w:rsidRDefault="00FD3081" w:rsidP="00B8630A">
            <w:pPr>
              <w:jc w:val="both"/>
              <w:rPr>
                <w:rFonts w:ascii="Arial" w:hAnsi="Arial" w:cs="Arial"/>
                <w:szCs w:val="22"/>
              </w:rPr>
            </w:pPr>
            <w:r w:rsidRPr="00075A58">
              <w:rPr>
                <w:rFonts w:ascii="Arial" w:hAnsi="Arial" w:cs="Arial"/>
                <w:szCs w:val="22"/>
              </w:rPr>
              <w:t>Spolupráce s českými i zahraničními partnery je vynikající a je řádně doložena společnými projekty včetně jasného vymezení role VO v těchto projektech. Výzkumníci IKEM jsou velice aktivní v oblasti nekomerčních klinických hodnocení, a to ve všech třech klíčových výzkumných oblastech VO, v oblasti kardiovaskulárních chorob, diabetologie a gastroenterologie.</w:t>
            </w:r>
          </w:p>
          <w:p w14:paraId="0D28E304" w14:textId="77777777" w:rsidR="00FD3081" w:rsidRPr="00075A58" w:rsidRDefault="00FD3081" w:rsidP="00B8630A">
            <w:pPr>
              <w:jc w:val="both"/>
              <w:rPr>
                <w:rFonts w:ascii="Arial" w:hAnsi="Arial" w:cs="Arial"/>
                <w:szCs w:val="22"/>
              </w:rPr>
            </w:pPr>
            <w:r w:rsidRPr="00075A58">
              <w:rPr>
                <w:rFonts w:ascii="Arial" w:hAnsi="Arial" w:cs="Arial"/>
                <w:szCs w:val="22"/>
              </w:rPr>
              <w:t>Mobilita výzkumných pracovníků</w:t>
            </w:r>
            <w:r>
              <w:rPr>
                <w:rFonts w:ascii="Arial" w:hAnsi="Arial" w:cs="Arial"/>
                <w:szCs w:val="22"/>
              </w:rPr>
              <w:t xml:space="preserve"> v roce 2023</w:t>
            </w:r>
            <w:r w:rsidRPr="00075A58">
              <w:rPr>
                <w:rFonts w:ascii="Arial" w:hAnsi="Arial" w:cs="Arial"/>
                <w:szCs w:val="22"/>
              </w:rPr>
              <w:t xml:space="preserve">, ať již ve smyslu příjezdů (celkem </w:t>
            </w:r>
            <w:r>
              <w:rPr>
                <w:rFonts w:ascii="Arial" w:hAnsi="Arial" w:cs="Arial"/>
                <w:szCs w:val="22"/>
              </w:rPr>
              <w:t>4</w:t>
            </w:r>
            <w:r w:rsidRPr="00075A58">
              <w:rPr>
                <w:rFonts w:ascii="Arial" w:hAnsi="Arial" w:cs="Arial"/>
                <w:szCs w:val="22"/>
              </w:rPr>
              <w:t>) nebo výjezdů (celkem 1</w:t>
            </w:r>
            <w:r>
              <w:rPr>
                <w:rFonts w:ascii="Arial" w:hAnsi="Arial" w:cs="Arial"/>
                <w:szCs w:val="22"/>
              </w:rPr>
              <w:t>9</w:t>
            </w:r>
            <w:r w:rsidRPr="00075A58">
              <w:rPr>
                <w:rFonts w:ascii="Arial" w:hAnsi="Arial" w:cs="Arial"/>
                <w:szCs w:val="22"/>
              </w:rPr>
              <w:t xml:space="preserve">) byla při srovnání s VO </w:t>
            </w:r>
            <w:proofErr w:type="spellStart"/>
            <w:r w:rsidRPr="00075A58">
              <w:rPr>
                <w:rFonts w:ascii="Arial" w:hAnsi="Arial" w:cs="Arial"/>
                <w:szCs w:val="22"/>
              </w:rPr>
              <w:t>MZd</w:t>
            </w:r>
            <w:proofErr w:type="spellEnd"/>
            <w:r w:rsidRPr="00075A58">
              <w:rPr>
                <w:rFonts w:ascii="Arial" w:hAnsi="Arial" w:cs="Arial"/>
                <w:szCs w:val="22"/>
              </w:rPr>
              <w:t xml:space="preserve"> velice dobrá. Velice pozitivně je nutné hodnotit realizaci dlouhodobých zahraničních pobytů (</w:t>
            </w:r>
            <w:r>
              <w:rPr>
                <w:rFonts w:ascii="Arial" w:hAnsi="Arial" w:cs="Arial"/>
                <w:szCs w:val="22"/>
              </w:rPr>
              <w:t>2</w:t>
            </w:r>
            <w:r w:rsidRPr="00075A58">
              <w:rPr>
                <w:rFonts w:ascii="Arial" w:hAnsi="Arial" w:cs="Arial"/>
                <w:szCs w:val="22"/>
              </w:rPr>
              <w:t xml:space="preserve"> příjezdy, </w:t>
            </w:r>
            <w:r>
              <w:rPr>
                <w:rFonts w:ascii="Arial" w:hAnsi="Arial" w:cs="Arial"/>
                <w:szCs w:val="22"/>
              </w:rPr>
              <w:t>2</w:t>
            </w:r>
            <w:r w:rsidRPr="00075A58">
              <w:rPr>
                <w:rFonts w:ascii="Arial" w:hAnsi="Arial" w:cs="Arial"/>
                <w:szCs w:val="22"/>
              </w:rPr>
              <w:t xml:space="preserve"> výjezdů). Tato mezinárodní mobilita se zcela jistě odráží i v nadprůměrné úspěšnosti výzkumné organizace v získávání grantů v mezinárodních grantových schématech či realizaci multicentrických nekomerčních klinických studií v roli zadavatele.</w:t>
            </w:r>
          </w:p>
          <w:p w14:paraId="7499C26D" w14:textId="77777777" w:rsidR="00FD3081" w:rsidRPr="00075A58" w:rsidRDefault="00FD3081" w:rsidP="00B8630A">
            <w:pPr>
              <w:pStyle w:val="Zkladntext1"/>
              <w:spacing w:after="0" w:line="240" w:lineRule="auto"/>
              <w:jc w:val="both"/>
              <w:rPr>
                <w:rFonts w:ascii="Arial" w:hAnsi="Arial" w:cs="Arial"/>
              </w:rPr>
            </w:pPr>
            <w:r w:rsidRPr="00075A58">
              <w:rPr>
                <w:rFonts w:ascii="Arial" w:hAnsi="Arial" w:cs="Arial"/>
              </w:rPr>
              <w:t xml:space="preserve">VO popsala obecné strategie, které v oblasti spolupráce s aplikační sférou a transferu znalostí uplatňuje, a také skupiny partnerů, se kterými spolupracuje. </w:t>
            </w:r>
            <w:r>
              <w:rPr>
                <w:rFonts w:ascii="Arial" w:hAnsi="Arial" w:cs="Arial"/>
              </w:rPr>
              <w:t>VO doplnila</w:t>
            </w:r>
            <w:r w:rsidRPr="00075A58">
              <w:rPr>
                <w:rFonts w:ascii="Arial" w:hAnsi="Arial" w:cs="Arial"/>
              </w:rPr>
              <w:t xml:space="preserve"> konkrétn</w:t>
            </w:r>
            <w:r>
              <w:rPr>
                <w:rFonts w:ascii="Arial" w:hAnsi="Arial" w:cs="Arial"/>
              </w:rPr>
              <w:t xml:space="preserve">í </w:t>
            </w:r>
            <w:r w:rsidRPr="00075A58">
              <w:rPr>
                <w:rFonts w:ascii="Arial" w:hAnsi="Arial" w:cs="Arial"/>
              </w:rPr>
              <w:t>partnery, se kterými již proběhla nebo probíhá spolupráce</w:t>
            </w:r>
            <w:r>
              <w:rPr>
                <w:rFonts w:ascii="Arial" w:hAnsi="Arial" w:cs="Arial"/>
              </w:rPr>
              <w:t>. Jedná se o velice rozsáhlou a kvalitní činnost v oblasti spolupráce s aplikační sférou.</w:t>
            </w:r>
          </w:p>
          <w:p w14:paraId="49C4D5B8" w14:textId="77777777" w:rsidR="00FD3081" w:rsidRPr="00075A58" w:rsidRDefault="00FD3081" w:rsidP="00B8630A">
            <w:pPr>
              <w:jc w:val="both"/>
              <w:rPr>
                <w:rFonts w:ascii="Arial" w:hAnsi="Arial" w:cs="Arial"/>
                <w:szCs w:val="22"/>
              </w:rPr>
            </w:pPr>
            <w:r w:rsidRPr="00075A58">
              <w:rPr>
                <w:rFonts w:ascii="Arial" w:hAnsi="Arial" w:cs="Arial"/>
                <w:szCs w:val="22"/>
              </w:rPr>
              <w:t>Vnitřní systém VO zahrnuje pravidelné posuzování vědeckých aktivit Vědeckou radou IKEM a monitorování etických otázek prostřednictvím společné Etické komise IKEM a FTN. VO uvádí, že vnitřní pravidla zahrnují směrnice a postupy, které zajišťují dodržování etických standardů a řešení případných závažných selhání, jako jsou falzifikace a plagiátorství. Dále uvádí, že má etablovaný́ systém pro řešení těchto problémů, včetně role Vědecké rady a Etické komise. VO také zavedla povinná školení pro nově příchozí výzkumné pracovníky, která se zaměřují na osvětu o etických principech a dobré vědecké praxi, toto je třeba hodnotit pozitivně.</w:t>
            </w:r>
          </w:p>
          <w:p w14:paraId="1F47D2EE" w14:textId="77777777" w:rsidR="00FD3081" w:rsidRDefault="00FD3081" w:rsidP="00B8630A">
            <w:pPr>
              <w:jc w:val="both"/>
              <w:rPr>
                <w:rFonts w:ascii="Arial" w:hAnsi="Arial" w:cs="Arial"/>
                <w:szCs w:val="22"/>
              </w:rPr>
            </w:pPr>
            <w:r w:rsidRPr="00075A58">
              <w:rPr>
                <w:rFonts w:ascii="Arial" w:hAnsi="Arial" w:cs="Arial"/>
                <w:szCs w:val="22"/>
              </w:rPr>
              <w:lastRenderedPageBreak/>
              <w:t xml:space="preserve">IKEM významně spolupracuje s pražskými lékařskými fakultami UK a zapojuje se </w:t>
            </w:r>
            <w:r>
              <w:rPr>
                <w:rFonts w:ascii="Arial" w:hAnsi="Arial" w:cs="Arial"/>
                <w:szCs w:val="22"/>
              </w:rPr>
              <w:t xml:space="preserve">do </w:t>
            </w:r>
            <w:r w:rsidRPr="00075A58">
              <w:rPr>
                <w:rFonts w:ascii="Arial" w:hAnsi="Arial" w:cs="Arial"/>
                <w:szCs w:val="22"/>
              </w:rPr>
              <w:t>pregraduální a postgraduální výuky, a také specializačního vzdělávání v tematicky relevantních oborech. Aktivní je rovněž v propagaci vědecké činnosti a popularizaci vědy pro širokou veřejnost. V této oblasti se zaměřuje zejména na mladou generaci s cílem popularizovat vědu u studentů středních a vysokých škol. Centrum experimentální medicíny IKEM pořádá pravidelné exkurze pro studenty pražských gymnázií, kteří mají zájem o přírodní vědy. IKEM se rovněž pravidelně účastí akcí typu „Noc vědců“ s cílem popularizovat vědeckou činnost pro nejširší veřejnost.</w:t>
            </w:r>
          </w:p>
          <w:p w14:paraId="2173BB32" w14:textId="428AEE5E" w:rsidR="00FD3081" w:rsidRDefault="00FD3081" w:rsidP="00B8630A">
            <w:pPr>
              <w:jc w:val="both"/>
              <w:rPr>
                <w:rFonts w:ascii="Arial" w:hAnsi="Arial" w:cs="Arial"/>
                <w:szCs w:val="22"/>
              </w:rPr>
            </w:pPr>
            <w:proofErr w:type="spellStart"/>
            <w:r>
              <w:rPr>
                <w:rFonts w:ascii="Arial" w:hAnsi="Arial" w:cs="Arial"/>
                <w:szCs w:val="22"/>
              </w:rPr>
              <w:t>Viabilita</w:t>
            </w:r>
            <w:proofErr w:type="spellEnd"/>
            <w:r>
              <w:rPr>
                <w:rFonts w:ascii="Arial" w:hAnsi="Arial" w:cs="Arial"/>
                <w:szCs w:val="22"/>
              </w:rPr>
              <w:t xml:space="preserve"> VO je i za rok 2023 stále hodnocena jako velice dobrá (B), v případě, že nedojde k nápravě metodiky vnitřní distribuce prostředků DKRVO bude </w:t>
            </w:r>
            <w:r w:rsidR="00150BFC">
              <w:rPr>
                <w:rFonts w:ascii="Arial" w:hAnsi="Arial" w:cs="Arial"/>
                <w:szCs w:val="22"/>
              </w:rPr>
              <w:t xml:space="preserve">pravděpodobně </w:t>
            </w:r>
            <w:r>
              <w:rPr>
                <w:rFonts w:ascii="Arial" w:hAnsi="Arial" w:cs="Arial"/>
                <w:szCs w:val="22"/>
              </w:rPr>
              <w:t>přistoupeno k horšímu stupni hodnocení.</w:t>
            </w:r>
          </w:p>
          <w:p w14:paraId="7D97E35D" w14:textId="00BF51D6" w:rsidR="00CE0BA4" w:rsidRPr="00075A58" w:rsidRDefault="00CE0BA4" w:rsidP="00B8630A">
            <w:pPr>
              <w:pBdr>
                <w:bottom w:val="single" w:sz="6" w:space="1" w:color="auto"/>
              </w:pBdr>
              <w:jc w:val="both"/>
              <w:rPr>
                <w:rFonts w:ascii="Arial" w:hAnsi="Arial" w:cs="Arial"/>
                <w:szCs w:val="22"/>
              </w:rPr>
            </w:pPr>
          </w:p>
          <w:p w14:paraId="3DC314B0" w14:textId="77777777" w:rsidR="00CE0BA4" w:rsidRPr="00075A58" w:rsidRDefault="00CE0BA4" w:rsidP="00B8630A">
            <w:pPr>
              <w:jc w:val="both"/>
              <w:rPr>
                <w:rFonts w:ascii="Arial" w:hAnsi="Arial" w:cs="Arial"/>
                <w:szCs w:val="22"/>
              </w:rPr>
            </w:pPr>
          </w:p>
          <w:p w14:paraId="7A6DAC29" w14:textId="5746472C" w:rsidR="005B46C3" w:rsidRPr="00CF734F" w:rsidRDefault="005B46C3" w:rsidP="00B8630A">
            <w:pPr>
              <w:pStyle w:val="Zhlav"/>
              <w:jc w:val="both"/>
              <w:rPr>
                <w:rFonts w:ascii="Arial" w:hAnsi="Arial" w:cs="Arial"/>
                <w:b/>
                <w:szCs w:val="22"/>
              </w:rPr>
            </w:pPr>
          </w:p>
        </w:tc>
      </w:tr>
      <w:tr w:rsidR="005B46C3" w:rsidRPr="001F0B21" w14:paraId="43F15EC6" w14:textId="77777777" w:rsidTr="009B5451">
        <w:trPr>
          <w:trHeight w:val="265"/>
          <w:jc w:val="center"/>
        </w:trPr>
        <w:tc>
          <w:tcPr>
            <w:tcW w:w="2637" w:type="dxa"/>
            <w:tcBorders>
              <w:left w:val="single" w:sz="2" w:space="0" w:color="auto"/>
              <w:right w:val="single" w:sz="2" w:space="0" w:color="auto"/>
            </w:tcBorders>
            <w:shd w:val="clear" w:color="auto" w:fill="auto"/>
            <w:vAlign w:val="center"/>
          </w:tcPr>
          <w:p w14:paraId="1E43E0B2" w14:textId="0959F4F1" w:rsidR="005B46C3" w:rsidRPr="00DB5CDA" w:rsidRDefault="005B46C3" w:rsidP="00B8630A">
            <w:pPr>
              <w:pStyle w:val="Odstavecseseznamem"/>
              <w:autoSpaceDE w:val="0"/>
              <w:autoSpaceDN w:val="0"/>
              <w:adjustRightInd w:val="0"/>
              <w:spacing w:after="120"/>
              <w:ind w:left="0"/>
              <w:contextualSpacing w:val="0"/>
              <w:jc w:val="both"/>
              <w:rPr>
                <w:rFonts w:ascii="Arial" w:hAnsi="Arial" w:cs="Arial"/>
                <w:b/>
                <w:szCs w:val="22"/>
              </w:rPr>
            </w:pPr>
            <w:r>
              <w:rPr>
                <w:rFonts w:ascii="Arial" w:hAnsi="Arial" w:cs="Arial"/>
                <w:b/>
                <w:szCs w:val="22"/>
              </w:rPr>
              <w:lastRenderedPageBreak/>
              <w:t>Modul 5 Strategie a koncepce A</w:t>
            </w:r>
          </w:p>
        </w:tc>
        <w:tc>
          <w:tcPr>
            <w:tcW w:w="6999" w:type="dxa"/>
            <w:gridSpan w:val="6"/>
            <w:tcBorders>
              <w:left w:val="single" w:sz="2" w:space="0" w:color="auto"/>
              <w:right w:val="single" w:sz="2" w:space="0" w:color="auto"/>
            </w:tcBorders>
            <w:shd w:val="clear" w:color="auto" w:fill="auto"/>
            <w:vAlign w:val="center"/>
          </w:tcPr>
          <w:p w14:paraId="3044B5C7" w14:textId="37C1AAB5" w:rsidR="00CE0BA4" w:rsidRPr="00075A58" w:rsidRDefault="003E79E7" w:rsidP="00B8630A">
            <w:pPr>
              <w:jc w:val="both"/>
              <w:rPr>
                <w:rFonts w:ascii="Arial" w:hAnsi="Arial" w:cs="Arial"/>
              </w:rPr>
            </w:pPr>
            <w:r w:rsidRPr="00075A58">
              <w:rPr>
                <w:rFonts w:ascii="Arial" w:hAnsi="Arial" w:cs="Arial"/>
              </w:rPr>
              <w:t xml:space="preserve">VO má z hlediska výzkumné činnosti jasně a velice kvalitně definovanou misi, vizi a hlavní cíle pro budoucí období. Mezi hlavní výzkumné oblasti patří patofyziologie, diagnostika a terapie kardiovaskulárních nemocí, patofyziologie a léčba diabetes </w:t>
            </w:r>
            <w:proofErr w:type="spellStart"/>
            <w:r w:rsidRPr="00075A58">
              <w:rPr>
                <w:rFonts w:ascii="Arial" w:hAnsi="Arial" w:cs="Arial"/>
              </w:rPr>
              <w:t>mellitus</w:t>
            </w:r>
            <w:proofErr w:type="spellEnd"/>
            <w:r w:rsidRPr="00075A58">
              <w:rPr>
                <w:rFonts w:ascii="Arial" w:hAnsi="Arial" w:cs="Arial"/>
              </w:rPr>
              <w:t xml:space="preserve"> a transplantace životně důležitých orgánů. Výzkumné oblasti v těchto oborech má VO jasně definovány. Pro tyto cíle jsou definovány hlavní nástroje a opatření pro jejich dosažení a jejich plnění. Patří mezi ně propojení experimentálního a klinického výzkumu a jeho podpora, organizační změny vědecké infrastruktury, administrativní a datová podpora (zde ovšem nedochází k potřebným změnám viz výše) a aktivní personální politika. Následují dílčí cíle, které jsou precizně formulovány. Umožňují vytvoření velice dobrého obrazu klíčových výzkumných aktivit VO, a potvrzují nejen dostatečné a kvalitní personální zajištění pro jejich realizaci, ale také jejich kvalitu skrze výsledky, kterých již bylo v daných oblastech dosaženo. Návaznost aktivit VO na národní a EU strategické dokumenty je definována velice dobře a potvrzuje plný soulad </w:t>
            </w:r>
            <w:proofErr w:type="spellStart"/>
            <w:r w:rsidRPr="00075A58">
              <w:rPr>
                <w:rFonts w:ascii="Arial" w:hAnsi="Arial" w:cs="Arial"/>
              </w:rPr>
              <w:t>VaVaI</w:t>
            </w:r>
            <w:proofErr w:type="spellEnd"/>
            <w:r w:rsidRPr="00075A58">
              <w:rPr>
                <w:rFonts w:ascii="Arial" w:hAnsi="Arial" w:cs="Arial"/>
              </w:rPr>
              <w:t xml:space="preserve"> činností VO s těmito strategiemi.</w:t>
            </w:r>
            <w:r>
              <w:rPr>
                <w:rFonts w:ascii="Arial" w:hAnsi="Arial" w:cs="Arial"/>
              </w:rPr>
              <w:t xml:space="preserve"> Výzkumná činnost probíhala v roce 2023 v souladu se strategií a misí VO. Strategie a koncepce VO je za rok 2023 hodnocena jako vynikající (A).</w:t>
            </w:r>
          </w:p>
          <w:p w14:paraId="21AB4E8E" w14:textId="3061BAB6" w:rsidR="005B46C3" w:rsidRPr="001F0B21" w:rsidRDefault="005B46C3" w:rsidP="00B8630A">
            <w:pPr>
              <w:pStyle w:val="Zhlav"/>
              <w:jc w:val="both"/>
              <w:rPr>
                <w:rFonts w:ascii="Arial" w:hAnsi="Arial" w:cs="Arial"/>
                <w:szCs w:val="22"/>
                <w:highlight w:val="yellow"/>
              </w:rPr>
            </w:pPr>
          </w:p>
        </w:tc>
      </w:tr>
      <w:tr w:rsidR="004C7431" w:rsidRPr="001F0B21" w14:paraId="65487491" w14:textId="77777777" w:rsidTr="009B5451">
        <w:trPr>
          <w:trHeight w:val="265"/>
          <w:jc w:val="center"/>
        </w:trPr>
        <w:tc>
          <w:tcPr>
            <w:tcW w:w="2637" w:type="dxa"/>
            <w:tcBorders>
              <w:left w:val="single" w:sz="2" w:space="0" w:color="auto"/>
              <w:bottom w:val="single" w:sz="2" w:space="0" w:color="auto"/>
              <w:right w:val="single" w:sz="2" w:space="0" w:color="auto"/>
            </w:tcBorders>
            <w:shd w:val="clear" w:color="auto" w:fill="auto"/>
            <w:vAlign w:val="center"/>
          </w:tcPr>
          <w:p w14:paraId="1DCDACD2" w14:textId="52947255" w:rsidR="004C7431" w:rsidRPr="00DB5CDA" w:rsidRDefault="004C7431" w:rsidP="004C7431">
            <w:pPr>
              <w:pStyle w:val="Zhlav"/>
              <w:rPr>
                <w:rFonts w:ascii="Arial" w:hAnsi="Arial" w:cs="Arial"/>
                <w:b/>
                <w:smallCaps/>
                <w:spacing w:val="20"/>
                <w:szCs w:val="22"/>
              </w:rPr>
            </w:pPr>
          </w:p>
        </w:tc>
        <w:tc>
          <w:tcPr>
            <w:tcW w:w="6999" w:type="dxa"/>
            <w:gridSpan w:val="6"/>
            <w:tcBorders>
              <w:left w:val="single" w:sz="2" w:space="0" w:color="auto"/>
              <w:bottom w:val="single" w:sz="2" w:space="0" w:color="auto"/>
              <w:right w:val="single" w:sz="2" w:space="0" w:color="auto"/>
            </w:tcBorders>
            <w:shd w:val="clear" w:color="auto" w:fill="auto"/>
            <w:vAlign w:val="center"/>
          </w:tcPr>
          <w:p w14:paraId="16EEE15D" w14:textId="77777777" w:rsidR="004C7431" w:rsidRPr="001F0B21" w:rsidRDefault="004C7431" w:rsidP="004C7431">
            <w:pPr>
              <w:pStyle w:val="Zhlav"/>
              <w:jc w:val="both"/>
              <w:rPr>
                <w:rFonts w:ascii="Arial" w:hAnsi="Arial" w:cs="Arial"/>
                <w:szCs w:val="22"/>
                <w:highlight w:val="yellow"/>
              </w:rPr>
            </w:pPr>
          </w:p>
        </w:tc>
      </w:tr>
    </w:tbl>
    <w:p w14:paraId="37A86B5D" w14:textId="77777777" w:rsidR="004C7431" w:rsidRDefault="004C7431"/>
    <w:p w14:paraId="5514A345" w14:textId="56D12AF0" w:rsidR="00764939" w:rsidRDefault="00764939" w:rsidP="00764939"/>
    <w:sectPr w:rsidR="007649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E83"/>
    <w:rsid w:val="000779AD"/>
    <w:rsid w:val="000B16B2"/>
    <w:rsid w:val="00135E8A"/>
    <w:rsid w:val="00150BFC"/>
    <w:rsid w:val="002C05ED"/>
    <w:rsid w:val="002D158C"/>
    <w:rsid w:val="002D55C6"/>
    <w:rsid w:val="0034701A"/>
    <w:rsid w:val="003605D8"/>
    <w:rsid w:val="003E79E7"/>
    <w:rsid w:val="004829A8"/>
    <w:rsid w:val="004C4C60"/>
    <w:rsid w:val="004C7431"/>
    <w:rsid w:val="004E49A5"/>
    <w:rsid w:val="004F6FF1"/>
    <w:rsid w:val="005B46C3"/>
    <w:rsid w:val="006519BD"/>
    <w:rsid w:val="006700BE"/>
    <w:rsid w:val="0076079B"/>
    <w:rsid w:val="00764939"/>
    <w:rsid w:val="00791517"/>
    <w:rsid w:val="00796777"/>
    <w:rsid w:val="007F2720"/>
    <w:rsid w:val="00812E0E"/>
    <w:rsid w:val="00861127"/>
    <w:rsid w:val="008D3DF2"/>
    <w:rsid w:val="008E723B"/>
    <w:rsid w:val="00936696"/>
    <w:rsid w:val="009C7D43"/>
    <w:rsid w:val="009F3DAF"/>
    <w:rsid w:val="00B73609"/>
    <w:rsid w:val="00B8630A"/>
    <w:rsid w:val="00BD16DF"/>
    <w:rsid w:val="00C03EF4"/>
    <w:rsid w:val="00CB2E83"/>
    <w:rsid w:val="00CE0BA4"/>
    <w:rsid w:val="00E0125C"/>
    <w:rsid w:val="00E67E99"/>
    <w:rsid w:val="00EA1749"/>
    <w:rsid w:val="00F20B96"/>
    <w:rsid w:val="00FD3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F6C0D"/>
  <w15:chartTrackingRefBased/>
  <w15:docId w15:val="{D03A9F43-BC4E-42E2-97D0-68990576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9A8"/>
    <w:pPr>
      <w:spacing w:after="0" w:line="240" w:lineRule="auto"/>
    </w:pPr>
    <w:rPr>
      <w:rFonts w:ascii="Times New Roman" w:eastAsia="Times New Roman" w:hAnsi="Times New Roman" w:cs="Times New Roman"/>
      <w:kern w:val="0"/>
      <w:szCs w:val="20"/>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
    <w:basedOn w:val="Normln"/>
    <w:link w:val="OdstavecseseznamemChar"/>
    <w:uiPriority w:val="34"/>
    <w:qFormat/>
    <w:rsid w:val="004829A8"/>
    <w:pPr>
      <w:ind w:left="720"/>
      <w:contextualSpacing/>
    </w:pPr>
  </w:style>
  <w:style w:type="paragraph" w:styleId="Zhlav">
    <w:name w:val="header"/>
    <w:basedOn w:val="Normln"/>
    <w:link w:val="ZhlavChar"/>
    <w:uiPriority w:val="99"/>
    <w:unhideWhenUsed/>
    <w:rsid w:val="004829A8"/>
    <w:pPr>
      <w:tabs>
        <w:tab w:val="center" w:pos="4536"/>
        <w:tab w:val="right" w:pos="9072"/>
      </w:tabs>
    </w:pPr>
  </w:style>
  <w:style w:type="character" w:customStyle="1" w:styleId="ZhlavChar">
    <w:name w:val="Záhlaví Char"/>
    <w:basedOn w:val="Standardnpsmoodstavce"/>
    <w:link w:val="Zhlav"/>
    <w:uiPriority w:val="99"/>
    <w:rsid w:val="004829A8"/>
    <w:rPr>
      <w:rFonts w:ascii="Times New Roman" w:eastAsia="Times New Roman" w:hAnsi="Times New Roman" w:cs="Times New Roman"/>
      <w:kern w:val="0"/>
      <w:szCs w:val="20"/>
      <w:lang w:eastAsia="cs-CZ"/>
      <w14:ligatures w14:val="none"/>
    </w:rPr>
  </w:style>
  <w:style w:type="character" w:customStyle="1" w:styleId="OdstavecseseznamemChar">
    <w:name w:val="Odstavec se seznamem Char"/>
    <w:aliases w:val="Nad Char,Odstavec_muj Char,Název grafu Char,nad 1 Char"/>
    <w:link w:val="Odstavecseseznamem"/>
    <w:uiPriority w:val="34"/>
    <w:locked/>
    <w:rsid w:val="004829A8"/>
    <w:rPr>
      <w:rFonts w:ascii="Times New Roman" w:eastAsia="Times New Roman" w:hAnsi="Times New Roman" w:cs="Times New Roman"/>
      <w:kern w:val="0"/>
      <w:szCs w:val="20"/>
      <w:lang w:eastAsia="cs-CZ"/>
      <w14:ligatures w14:val="none"/>
    </w:rPr>
  </w:style>
  <w:style w:type="character" w:customStyle="1" w:styleId="Zkladntext">
    <w:name w:val="Základní text_"/>
    <w:basedOn w:val="Standardnpsmoodstavce"/>
    <w:link w:val="Zkladntext1"/>
    <w:rsid w:val="00764939"/>
    <w:rPr>
      <w:rFonts w:ascii="Calibri" w:eastAsia="Calibri" w:hAnsi="Calibri" w:cs="Calibri"/>
    </w:rPr>
  </w:style>
  <w:style w:type="paragraph" w:customStyle="1" w:styleId="Zkladntext1">
    <w:name w:val="Základní text1"/>
    <w:basedOn w:val="Normln"/>
    <w:link w:val="Zkladntext"/>
    <w:rsid w:val="00764939"/>
    <w:pPr>
      <w:widowControl w:val="0"/>
      <w:spacing w:after="320" w:line="271" w:lineRule="auto"/>
    </w:pPr>
    <w:rPr>
      <w:rFonts w:ascii="Calibri" w:eastAsia="Calibri" w:hAnsi="Calibri" w:cs="Calibri"/>
      <w:kern w:val="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1703</Words>
  <Characters>10049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Office365 deploy</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Hejnová Jana, Ing.</dc:creator>
  <cp:keywords/>
  <dc:description/>
  <cp:lastModifiedBy>Hejnová Jana, Ing.</cp:lastModifiedBy>
  <cp:revision>39</cp:revision>
  <dcterms:created xsi:type="dcterms:W3CDTF">2024-02-27T10:50:00Z</dcterms:created>
  <dcterms:modified xsi:type="dcterms:W3CDTF">2025-01-02T10:36:00Z</dcterms:modified>
</cp:coreProperties>
</file>